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B861" w14:textId="77777777" w:rsidR="00EB704A" w:rsidRDefault="00EB704A">
      <w:pPr>
        <w:pStyle w:val="Titel"/>
        <w:rPr>
          <w:kern w:val="0"/>
          <w:sz w:val="24"/>
          <w:szCs w:val="24"/>
          <w:lang w:eastAsia="de-DE"/>
          <w14:ligatures w14:val="none"/>
        </w:rPr>
      </w:pPr>
      <w:r>
        <w:t>Städtische Urnenabstimmung – Bebauungsplan Metalli (Festsetzung)</w:t>
      </w:r>
    </w:p>
    <w:p w14:paraId="6EC37DF8" w14:textId="77777777" w:rsidR="00EB704A" w:rsidRDefault="00EB704A">
      <w:pPr>
        <w:pStyle w:val="Untertitel"/>
        <w:rPr>
          <w:kern w:val="0"/>
          <w:sz w:val="24"/>
          <w:szCs w:val="24"/>
          <w:lang w:eastAsia="de-DE"/>
          <w14:ligatures w14:val="none"/>
        </w:rPr>
      </w:pPr>
      <w:r>
        <w:t>Abstimmung vom 14. Juni 2026 – Empfehlung von Stadtrat und Grossem Gemeinderat: Zustimmung</w:t>
      </w:r>
    </w:p>
    <w:p w14:paraId="29F95610" w14:textId="77777777" w:rsidR="00EB704A" w:rsidRDefault="00EB704A">
      <w:pPr>
        <w:rPr>
          <w:kern w:val="0"/>
          <w:lang w:eastAsia="de-DE"/>
          <w14:ligatures w14:val="none"/>
        </w:rPr>
      </w:pPr>
      <w:r>
        <w:rPr>
          <w:b/>
          <w:bCs/>
        </w:rPr>
        <w:t>Hinweis zur Barrierefreiheit:</w:t>
      </w:r>
      <w:r>
        <w:t xml:space="preserve"> Diese Word-Version ist als barrierearme Textfassung erstellt. Grafiken, Karten und QR-Codes aus dem PDF sind nicht enthalten; an den entsprechenden Stellen stehen textliche Hinweise.</w:t>
      </w:r>
    </w:p>
    <w:p w14:paraId="0157B86A"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Urnenöffnungszeiten</w:t>
      </w:r>
    </w:p>
    <w:tbl>
      <w:tblPr>
        <w:tblStyle w:val="GridTable1Light-Accent1"/>
        <w:tblW w:w="5000" w:type="pct"/>
        <w:tblInd w:w="0" w:type="dxa"/>
        <w:tblLook w:val="04A0" w:firstRow="1" w:lastRow="0" w:firstColumn="1" w:lastColumn="0" w:noHBand="0" w:noVBand="1"/>
      </w:tblPr>
      <w:tblGrid>
        <w:gridCol w:w="2716"/>
        <w:gridCol w:w="3170"/>
        <w:gridCol w:w="3170"/>
      </w:tblGrid>
      <w:tr w:rsidR="00EB704A" w14:paraId="4119953E" w14:textId="77777777">
        <w:tc>
          <w:tcPr>
            <w:tcW w:w="1500" w:type="pct"/>
            <w:vAlign w:val="center"/>
            <w:hideMark/>
          </w:tcPr>
          <w:p w14:paraId="010B740D" w14:textId="77777777" w:rsidR="00EB704A" w:rsidRDefault="00EB704A">
            <w:pPr>
              <w:rPr>
                <w:lang w:eastAsia="de-DE"/>
              </w:rPr>
            </w:pPr>
            <w:r>
              <w:rPr>
                <w:b/>
                <w:bCs/>
              </w:rPr>
              <w:t>Tag</w:t>
            </w:r>
          </w:p>
        </w:tc>
        <w:tc>
          <w:tcPr>
            <w:tcW w:w="1750" w:type="pct"/>
            <w:vAlign w:val="center"/>
            <w:hideMark/>
          </w:tcPr>
          <w:p w14:paraId="2F6FBDFD" w14:textId="77777777" w:rsidR="00EB704A" w:rsidRDefault="00EB704A">
            <w:r>
              <w:rPr>
                <w:b/>
                <w:bCs/>
              </w:rPr>
              <w:t>Zeit</w:t>
            </w:r>
          </w:p>
        </w:tc>
        <w:tc>
          <w:tcPr>
            <w:tcW w:w="1750" w:type="pct"/>
            <w:vAlign w:val="center"/>
            <w:hideMark/>
          </w:tcPr>
          <w:p w14:paraId="6CD84D47" w14:textId="77777777" w:rsidR="00EB704A" w:rsidRDefault="00EB704A">
            <w:r>
              <w:rPr>
                <w:b/>
                <w:bCs/>
              </w:rPr>
              <w:t>Ort</w:t>
            </w:r>
          </w:p>
        </w:tc>
      </w:tr>
      <w:tr w:rsidR="00EB704A" w14:paraId="2F67294B" w14:textId="77777777">
        <w:tc>
          <w:tcPr>
            <w:tcW w:w="0" w:type="auto"/>
            <w:vAlign w:val="center"/>
            <w:hideMark/>
          </w:tcPr>
          <w:p w14:paraId="0D7F31BC" w14:textId="77777777" w:rsidR="00EB704A" w:rsidRDefault="00EB704A">
            <w:r>
              <w:t>Donnerstag, 11. Juni 2026 (Vorurne)</w:t>
            </w:r>
          </w:p>
        </w:tc>
        <w:tc>
          <w:tcPr>
            <w:tcW w:w="0" w:type="auto"/>
            <w:vAlign w:val="center"/>
            <w:hideMark/>
          </w:tcPr>
          <w:p w14:paraId="63A3B457" w14:textId="77777777" w:rsidR="00EB704A" w:rsidRDefault="00EB704A">
            <w:r>
              <w:t>09.00 bis 11.30 Uhr</w:t>
            </w:r>
            <w:r>
              <w:br/>
              <w:t>13.30 bis 17.00 Uhr</w:t>
            </w:r>
          </w:p>
        </w:tc>
        <w:tc>
          <w:tcPr>
            <w:tcW w:w="0" w:type="auto"/>
            <w:vAlign w:val="center"/>
            <w:hideMark/>
          </w:tcPr>
          <w:p w14:paraId="1A4A4C8B" w14:textId="77777777" w:rsidR="00EB704A" w:rsidRDefault="00EB704A">
            <w:r>
              <w:t>Stadthaus, Gubelstrasse 22</w:t>
            </w:r>
          </w:p>
        </w:tc>
      </w:tr>
      <w:tr w:rsidR="00EB704A" w14:paraId="7D3D9741" w14:textId="77777777">
        <w:tc>
          <w:tcPr>
            <w:tcW w:w="0" w:type="auto"/>
            <w:vAlign w:val="center"/>
            <w:hideMark/>
          </w:tcPr>
          <w:p w14:paraId="23A7EFF3" w14:textId="77777777" w:rsidR="00EB704A" w:rsidRDefault="00EB704A">
            <w:r>
              <w:t>Freitag, 12. Juni 2026 (Vorurne)</w:t>
            </w:r>
          </w:p>
        </w:tc>
        <w:tc>
          <w:tcPr>
            <w:tcW w:w="0" w:type="auto"/>
            <w:vAlign w:val="center"/>
            <w:hideMark/>
          </w:tcPr>
          <w:p w14:paraId="7CACFE9D" w14:textId="77777777" w:rsidR="00EB704A" w:rsidRDefault="00EB704A">
            <w:r>
              <w:t>09.00 bis 11.30 Uhr</w:t>
            </w:r>
          </w:p>
        </w:tc>
        <w:tc>
          <w:tcPr>
            <w:tcW w:w="0" w:type="auto"/>
            <w:vAlign w:val="center"/>
            <w:hideMark/>
          </w:tcPr>
          <w:p w14:paraId="13B0B5DD" w14:textId="77777777" w:rsidR="00EB704A" w:rsidRDefault="00EB704A">
            <w:r>
              <w:t>Stadthaus, Gubelstrasse 22</w:t>
            </w:r>
          </w:p>
        </w:tc>
      </w:tr>
      <w:tr w:rsidR="00EB704A" w14:paraId="35380F0A" w14:textId="77777777">
        <w:tc>
          <w:tcPr>
            <w:tcW w:w="0" w:type="auto"/>
            <w:vAlign w:val="center"/>
            <w:hideMark/>
          </w:tcPr>
          <w:p w14:paraId="3EE08CC1" w14:textId="77777777" w:rsidR="00EB704A" w:rsidRDefault="00EB704A">
            <w:r>
              <w:t>Sonntag, 14. Juni 2026 (Haupturne)</w:t>
            </w:r>
          </w:p>
        </w:tc>
        <w:tc>
          <w:tcPr>
            <w:tcW w:w="0" w:type="auto"/>
            <w:vAlign w:val="center"/>
            <w:hideMark/>
          </w:tcPr>
          <w:p w14:paraId="4784906B" w14:textId="77777777" w:rsidR="00EB704A" w:rsidRDefault="00EB704A">
            <w:r>
              <w:t>08.00 bis 12.00 Uhr</w:t>
            </w:r>
          </w:p>
        </w:tc>
        <w:tc>
          <w:tcPr>
            <w:tcW w:w="0" w:type="auto"/>
            <w:vAlign w:val="center"/>
            <w:hideMark/>
          </w:tcPr>
          <w:p w14:paraId="43A53D93" w14:textId="77777777" w:rsidR="00EB704A" w:rsidRDefault="00EB704A">
            <w:r>
              <w:t>Stadthaus, Gubelstrasse 22</w:t>
            </w:r>
          </w:p>
        </w:tc>
      </w:tr>
    </w:tbl>
    <w:p w14:paraId="7720AF4F"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Sehr geehrte Stimmbürgerinnen und Stimmbürger</w:t>
      </w:r>
    </w:p>
    <w:p w14:paraId="698E2D9B" w14:textId="77777777" w:rsidR="00EB704A" w:rsidRDefault="00EB704A">
      <w:pPr>
        <w:rPr>
          <w:kern w:val="0"/>
          <w:lang w:eastAsia="de-DE"/>
          <w14:ligatures w14:val="none"/>
        </w:rPr>
      </w:pPr>
      <w:r>
        <w:t>Die Metalli ist seit vielen Jahren ein vertrauter und beliebter Ort für die Menschen in der Region. Nun soll das Areal rund um das Einkaufszentrum von 1987 weiterentwickelt werden – damit im Herzen von Zug künftig mehr Raum zum Wohnen, Arbeiten und Verweilen entsteht.</w:t>
      </w:r>
    </w:p>
    <w:p w14:paraId="2CDAF3D8" w14:textId="77777777" w:rsidR="00EB704A" w:rsidRDefault="00EB704A">
      <w:pPr>
        <w:rPr>
          <w:kern w:val="0"/>
          <w:lang w:eastAsia="de-DE"/>
          <w14:ligatures w14:val="none"/>
        </w:rPr>
      </w:pPr>
      <w:r>
        <w:t>Die geplanten Aufstockungen, Ersatzbauten und das neue Hochhaus folgen der kantonalen Strategie zur Verdichtung. Sie schaffen zusätzliche Freiräume und eröffnen neue Möglichkeiten für die Nutzung des Areals. Mit dem Bebauungsplan Metalli wird die Grundlage gelegt, um das heutige Einkaufszentrum in einen modernen, vielfältigen «Lebensraum Metalli» zu verwandeln. Prägende Elemente – wie die glasüberdachte Halle und die Passagen – bleiben erhalten.</w:t>
      </w:r>
    </w:p>
    <w:p w14:paraId="64FE9047" w14:textId="77777777" w:rsidR="00EB704A" w:rsidRDefault="00EB704A">
      <w:pPr>
        <w:rPr>
          <w:kern w:val="0"/>
          <w:lang w:eastAsia="de-DE"/>
          <w14:ligatures w14:val="none"/>
        </w:rPr>
      </w:pPr>
      <w:r>
        <w:t>Der Bebauungsplan ermöglicht bis zu 88'900 m² anrechenbare Geschossfläche (ober- und unterirdisch), davon 21'790 m² zusätzliche oberirdische Nutzfläche. Diese neuen Flächen kommen vor allem dem Wohnen und verschiedenen Dienstleistungen zugute; die Verkaufs- und Gastronomieflächen bleiben nahezu unverändert.</w:t>
      </w:r>
    </w:p>
    <w:p w14:paraId="398477C0" w14:textId="77777777" w:rsidR="00EB704A" w:rsidRDefault="00EB704A">
      <w:pPr>
        <w:rPr>
          <w:kern w:val="0"/>
          <w:lang w:eastAsia="de-DE"/>
          <w14:ligatures w14:val="none"/>
        </w:rPr>
      </w:pPr>
      <w:r>
        <w:lastRenderedPageBreak/>
        <w:t>Ein zentrales Anliegen ist der preisgünstige Wohnraum: Wie von der Initiative «2000 Wohnungen für den Zuger Mittelstand» gefordert, entstehen effektiv 130 neue Wohnungen und insgesamt 49 % preisgünstige Mietwohnungen. Das Areal wird mit vier neu gestalteten, begrünten Plätzen aufgewertet und erhält rund 550 zusätzliche Veloabstellplätze. Die gemeinsame Tiefgarage Metalli/Bergli bleibt mit 900 Parkplätzen unverändert bestehen.</w:t>
      </w:r>
    </w:p>
    <w:p w14:paraId="24E3310B" w14:textId="77777777" w:rsidR="00EB704A" w:rsidRDefault="00EB704A">
      <w:pPr>
        <w:rPr>
          <w:kern w:val="0"/>
          <w:lang w:eastAsia="de-DE"/>
          <w14:ligatures w14:val="none"/>
        </w:rPr>
      </w:pPr>
      <w:r>
        <w:t>Die Umweltverträglichkeitsprüfung zeigt, dass sämtliche Anforderungen erfüllt werden – dank den vorgesehenen Massnahmen zum Schutz der Umwelt. Der Grosse Gemeinderat der Stadt Zug hat den Bebauungsplan Metalli an seiner Sitzung vom 18. November 2025 mit 34 zu 1 Stimmen bei 1 Enthaltung beschlossen. In der Folge wurde gegen den Beschluss das Referendum ergriffen, weshalb nun eine Urnenabstimmung durchgeführt wird.</w:t>
      </w:r>
    </w:p>
    <w:p w14:paraId="1B7E90DA" w14:textId="77777777" w:rsidR="00EB704A" w:rsidRDefault="00EB704A">
      <w:pPr>
        <w:rPr>
          <w:kern w:val="0"/>
          <w:lang w:eastAsia="de-DE"/>
          <w14:ligatures w14:val="none"/>
        </w:rPr>
      </w:pPr>
      <w:r>
        <w:t>Zusammen mit dem Grossen Gemeinderat empfehlen wir Ihnen, der Festsetzung des Bebauungsplans Metalli zuzustimmen.</w:t>
      </w:r>
    </w:p>
    <w:p w14:paraId="52AF14BB" w14:textId="77777777" w:rsidR="00EB704A" w:rsidRDefault="00EB704A">
      <w:pPr>
        <w:rPr>
          <w:kern w:val="0"/>
          <w:lang w:eastAsia="de-DE"/>
          <w14:ligatures w14:val="none"/>
        </w:rPr>
      </w:pPr>
      <w:r>
        <w:rPr>
          <w:b/>
          <w:bCs/>
        </w:rPr>
        <w:t>Der Stadtrat von Zug</w:t>
      </w:r>
    </w:p>
    <w:p w14:paraId="50389AAB"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Inhaltsübersicht</w:t>
      </w:r>
    </w:p>
    <w:p w14:paraId="1394FF60" w14:textId="77777777" w:rsidR="00EB704A" w:rsidRPr="00EB704A" w:rsidRDefault="00EB704A" w:rsidP="00EB704A">
      <w:pPr>
        <w:pStyle w:val="Listenabsatz"/>
        <w:numPr>
          <w:ilvl w:val="0"/>
          <w:numId w:val="1"/>
        </w:numPr>
        <w:rPr>
          <w:kern w:val="0"/>
          <w:sz w:val="20"/>
          <w:szCs w:val="20"/>
          <w:lang w:eastAsia="de-DE"/>
          <w14:ligatures w14:val="none"/>
        </w:rPr>
      </w:pPr>
      <w:r w:rsidRPr="00EB704A">
        <w:rPr>
          <w:sz w:val="20"/>
          <w:szCs w:val="20"/>
        </w:rPr>
        <w:t>Ausgangslage</w:t>
      </w:r>
    </w:p>
    <w:p w14:paraId="5615C351" w14:textId="77777777" w:rsidR="00EB704A" w:rsidRDefault="00EB704A" w:rsidP="00EB704A">
      <w:pPr>
        <w:pStyle w:val="Listenabsatz"/>
        <w:numPr>
          <w:ilvl w:val="0"/>
          <w:numId w:val="1"/>
        </w:numPr>
        <w:rPr>
          <w:sz w:val="20"/>
          <w:szCs w:val="20"/>
        </w:rPr>
      </w:pPr>
      <w:r>
        <w:rPr>
          <w:sz w:val="20"/>
          <w:szCs w:val="20"/>
        </w:rPr>
        <w:t>Bebauungsplan</w:t>
      </w:r>
    </w:p>
    <w:p w14:paraId="1BF2D22B" w14:textId="77777777" w:rsidR="00EB704A" w:rsidRDefault="00EB704A" w:rsidP="00EB704A">
      <w:pPr>
        <w:pStyle w:val="Listenabsatz"/>
        <w:numPr>
          <w:ilvl w:val="0"/>
          <w:numId w:val="1"/>
        </w:numPr>
        <w:rPr>
          <w:sz w:val="20"/>
          <w:szCs w:val="20"/>
        </w:rPr>
      </w:pPr>
      <w:r>
        <w:rPr>
          <w:sz w:val="20"/>
          <w:szCs w:val="20"/>
        </w:rPr>
        <w:t>Bebauung und Nutzung</w:t>
      </w:r>
    </w:p>
    <w:p w14:paraId="4D7589FF" w14:textId="77777777" w:rsidR="00EB704A" w:rsidRDefault="00EB704A" w:rsidP="00EB704A">
      <w:pPr>
        <w:pStyle w:val="Listenabsatz"/>
        <w:numPr>
          <w:ilvl w:val="0"/>
          <w:numId w:val="1"/>
        </w:numPr>
        <w:rPr>
          <w:sz w:val="20"/>
          <w:szCs w:val="20"/>
        </w:rPr>
      </w:pPr>
      <w:r>
        <w:rPr>
          <w:sz w:val="20"/>
          <w:szCs w:val="20"/>
        </w:rPr>
        <w:t>Preisgünstiger Wohnraum</w:t>
      </w:r>
    </w:p>
    <w:p w14:paraId="313BD554" w14:textId="77777777" w:rsidR="00EB704A" w:rsidRDefault="00EB704A" w:rsidP="00EB704A">
      <w:pPr>
        <w:pStyle w:val="Listenabsatz"/>
        <w:numPr>
          <w:ilvl w:val="0"/>
          <w:numId w:val="1"/>
        </w:numPr>
        <w:rPr>
          <w:sz w:val="20"/>
          <w:szCs w:val="20"/>
        </w:rPr>
      </w:pPr>
      <w:r>
        <w:rPr>
          <w:sz w:val="20"/>
          <w:szCs w:val="20"/>
        </w:rPr>
        <w:t>Freiraum</w:t>
      </w:r>
    </w:p>
    <w:p w14:paraId="5F73BB40" w14:textId="77777777" w:rsidR="00EB704A" w:rsidRDefault="00EB704A" w:rsidP="00EB704A">
      <w:pPr>
        <w:pStyle w:val="Listenabsatz"/>
        <w:numPr>
          <w:ilvl w:val="0"/>
          <w:numId w:val="1"/>
        </w:numPr>
        <w:rPr>
          <w:sz w:val="20"/>
          <w:szCs w:val="20"/>
        </w:rPr>
      </w:pPr>
      <w:r>
        <w:rPr>
          <w:sz w:val="20"/>
          <w:szCs w:val="20"/>
        </w:rPr>
        <w:t>Erschliessung und Parkierung</w:t>
      </w:r>
    </w:p>
    <w:p w14:paraId="75E367E1" w14:textId="77777777" w:rsidR="00EB704A" w:rsidRDefault="00EB704A" w:rsidP="00EB704A">
      <w:pPr>
        <w:pStyle w:val="Listenabsatz"/>
        <w:numPr>
          <w:ilvl w:val="0"/>
          <w:numId w:val="1"/>
        </w:numPr>
        <w:rPr>
          <w:sz w:val="20"/>
          <w:szCs w:val="20"/>
        </w:rPr>
      </w:pPr>
      <w:r>
        <w:rPr>
          <w:sz w:val="20"/>
          <w:szCs w:val="20"/>
        </w:rPr>
        <w:t>Kantonale Vorprüfung</w:t>
      </w:r>
    </w:p>
    <w:p w14:paraId="30151694" w14:textId="77777777" w:rsidR="00EB704A" w:rsidRDefault="00EB704A" w:rsidP="00EB704A">
      <w:pPr>
        <w:pStyle w:val="Listenabsatz"/>
        <w:numPr>
          <w:ilvl w:val="0"/>
          <w:numId w:val="1"/>
        </w:numPr>
        <w:rPr>
          <w:sz w:val="20"/>
          <w:szCs w:val="20"/>
        </w:rPr>
      </w:pPr>
      <w:r>
        <w:rPr>
          <w:sz w:val="20"/>
          <w:szCs w:val="20"/>
        </w:rPr>
        <w:t>Einwendungen</w:t>
      </w:r>
    </w:p>
    <w:p w14:paraId="340FFE90" w14:textId="77777777" w:rsidR="00EB704A" w:rsidRDefault="00EB704A" w:rsidP="00EB704A">
      <w:pPr>
        <w:pStyle w:val="Listenabsatz"/>
        <w:numPr>
          <w:ilvl w:val="0"/>
          <w:numId w:val="1"/>
        </w:numPr>
        <w:rPr>
          <w:sz w:val="20"/>
          <w:szCs w:val="20"/>
        </w:rPr>
      </w:pPr>
      <w:r>
        <w:rPr>
          <w:sz w:val="20"/>
          <w:szCs w:val="20"/>
        </w:rPr>
        <w:t>Debatte im Grossen Gemeinderat (1. und 2. Lesung)</w:t>
      </w:r>
    </w:p>
    <w:p w14:paraId="64A5A923" w14:textId="77777777" w:rsidR="00EB704A" w:rsidRDefault="00EB704A" w:rsidP="00EB704A">
      <w:pPr>
        <w:pStyle w:val="Listenabsatz"/>
        <w:numPr>
          <w:ilvl w:val="0"/>
          <w:numId w:val="1"/>
        </w:numPr>
        <w:rPr>
          <w:sz w:val="20"/>
          <w:szCs w:val="20"/>
        </w:rPr>
      </w:pPr>
      <w:r>
        <w:rPr>
          <w:sz w:val="20"/>
          <w:szCs w:val="20"/>
        </w:rPr>
        <w:t>Argumente des Referendumskomitees</w:t>
      </w:r>
    </w:p>
    <w:p w14:paraId="425680DA" w14:textId="77777777" w:rsidR="00EB704A" w:rsidRDefault="00EB704A" w:rsidP="00EB704A">
      <w:pPr>
        <w:pStyle w:val="Listenabsatz"/>
        <w:numPr>
          <w:ilvl w:val="0"/>
          <w:numId w:val="1"/>
        </w:numPr>
        <w:rPr>
          <w:sz w:val="20"/>
          <w:szCs w:val="20"/>
        </w:rPr>
      </w:pPr>
      <w:r>
        <w:rPr>
          <w:sz w:val="20"/>
          <w:szCs w:val="20"/>
        </w:rPr>
        <w:t>Beschlusstext</w:t>
      </w:r>
    </w:p>
    <w:p w14:paraId="0B99FC92" w14:textId="77777777" w:rsidR="00EB704A" w:rsidRDefault="00EB704A" w:rsidP="00EB704A">
      <w:pPr>
        <w:pStyle w:val="Listenabsatz"/>
        <w:numPr>
          <w:ilvl w:val="0"/>
          <w:numId w:val="1"/>
        </w:numPr>
        <w:rPr>
          <w:sz w:val="20"/>
          <w:szCs w:val="20"/>
        </w:rPr>
      </w:pPr>
      <w:r>
        <w:rPr>
          <w:sz w:val="20"/>
          <w:szCs w:val="20"/>
        </w:rPr>
        <w:t>Anhang: Bebauungsplan Metalli – Bestimmungen</w:t>
      </w:r>
    </w:p>
    <w:p w14:paraId="2D7B2A8F" w14:textId="77777777" w:rsidR="00EB704A" w:rsidRDefault="00EB704A" w:rsidP="00EB704A">
      <w:pPr>
        <w:pStyle w:val="Listenabsatz"/>
        <w:numPr>
          <w:ilvl w:val="0"/>
          <w:numId w:val="1"/>
        </w:numPr>
        <w:rPr>
          <w:sz w:val="20"/>
          <w:szCs w:val="20"/>
        </w:rPr>
      </w:pPr>
      <w:r>
        <w:rPr>
          <w:sz w:val="20"/>
          <w:szCs w:val="20"/>
        </w:rPr>
        <w:t>Anhang: Bebauungsplan Metalli – Situationsplan (Hinweis)</w:t>
      </w:r>
    </w:p>
    <w:p w14:paraId="0E347F4A"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1. Ausgangslage</w:t>
      </w:r>
    </w:p>
    <w:p w14:paraId="63AA55A7" w14:textId="77777777" w:rsidR="00EB704A" w:rsidRDefault="00EB704A">
      <w:pPr>
        <w:rPr>
          <w:kern w:val="0"/>
          <w:lang w:eastAsia="de-DE"/>
          <w14:ligatures w14:val="none"/>
        </w:rPr>
      </w:pPr>
      <w:r>
        <w:t>Die Grundeigentümerschaften des Metalli-Areals beabsichtigen, den rechtskräftigen Bebauungsplan Metalli (Plan Nr. 7082, erlassen im Jahr 1983, revidiert im Jahr 2010) anzupassen. Der Plan umfasst drei Parzellen im Eigentum der Zug Estates AG und der Miteigentümergemeinschaft Metalli sowie Teile von angrenzenden Strassenflächen der Einwohnergemeinde Zug. Hauptbestandteil des Bebauungsplans sind die Liegenschaften mit dem Einkaufszentrum Metalli.</w:t>
      </w:r>
    </w:p>
    <w:p w14:paraId="22468AB1" w14:textId="77777777" w:rsidR="00EB704A" w:rsidRDefault="00EB704A">
      <w:pPr>
        <w:rPr>
          <w:kern w:val="0"/>
          <w:lang w:eastAsia="de-DE"/>
          <w14:ligatures w14:val="none"/>
        </w:rPr>
      </w:pPr>
      <w:r>
        <w:t xml:space="preserve">Die vorliegende Revision des Bebauungsplans richtet sich nach den übergeordneten Vorgaben von Bund, Kanton und Stadt Zug. Mit der angestrebten Dichte soll eine </w:t>
      </w:r>
      <w:r>
        <w:lastRenderedPageBreak/>
        <w:t>qualitätsvolle Siedlungsentwicklung nach innen umgesetzt werden. Die Revision des Bebauungsplans wurde durch die Abteilung Städtebau und Planung in engem Austausch mit den Fachstellen der Stadt Zug erarbeitet, basierend auf dem aus einem Studienauftrag mit drei Planerteams hervorgegangenen Richtprojekt der Grundeigentümerschaften.</w:t>
      </w:r>
    </w:p>
    <w:p w14:paraId="5B0B5E6D" w14:textId="77777777" w:rsidR="00EB704A" w:rsidRDefault="00EB704A">
      <w:pPr>
        <w:rPr>
          <w:kern w:val="0"/>
          <w:lang w:eastAsia="de-DE"/>
          <w14:ligatures w14:val="none"/>
        </w:rPr>
      </w:pPr>
      <w:r>
        <w:t>Das Areal Metalli ist räumlich und funktional stark mit dem benachbarten Areal Bergli verbunden. Die Arealentwicklung wurde deshalb zu Beginn über beide Areale gemeinsam angegangen. In den Jahren 2019/2020 wurde ein qualitätssicherndes Konkurrenzverfahren (QKV) mit drei Planungsteams durchgeführt. Das Projekt des Teams Hosoya Schaefer Architects / NYX Architectes / Lorenz Eugster Landschaftsarchitektur wurde vom Beurteilungsgremium, in dem auch die Stadt Zug Einsitz hatte, einstimmig zur Weiterbearbeitung empfohlen.</w:t>
      </w:r>
    </w:p>
    <w:p w14:paraId="185B1AAD" w14:textId="77777777" w:rsidR="00EB704A" w:rsidRDefault="00EB704A">
      <w:pPr>
        <w:rPr>
          <w:kern w:val="0"/>
          <w:lang w:eastAsia="de-DE"/>
          <w14:ligatures w14:val="none"/>
        </w:rPr>
      </w:pPr>
      <w:r>
        <w:t>Parallel zum Konkurrenzverfahren wurde ein Dialog (Mitwirkung) mit der Bevölkerung über die Entwicklung des Areals gestartet. Der Austausch erfolgte unter anderem mit Ausstellungen, Publikationen und einer Projektwebseite. Die Rückmeldungen flossen in die Festlegung der Entwicklungsziele ein. Aufgrund der Volksinitiative «2000 Wohnungen für den Zuger Mittelstand» sowie weiterer Erkenntnisse aus dem Dialogprozess liess die Eigentümerin Zug Estates das Richtprojekt überarbeiten und verzichtete auf die Weiterentwicklung des Bebauungsplans Bergli.</w:t>
      </w:r>
    </w:p>
    <w:p w14:paraId="1D10D83A" w14:textId="77777777" w:rsidR="00EB704A" w:rsidRDefault="00EB704A">
      <w:pPr>
        <w:rPr>
          <w:kern w:val="0"/>
          <w:lang w:eastAsia="de-DE"/>
          <w14:ligatures w14:val="none"/>
        </w:rPr>
      </w:pPr>
      <w:r>
        <w:t>Der nun vorliegende Bebauungsplan legt die Grundprinzipien für Städtebau, Architektur, Nutzung, Freiraumgestaltung, Mobilität und Umwelt fest. Da gemeinsam mit dem über die Tiefgarage zusammenhängenden Bebauungsplan Bergli mehr als 500 Parkfelder angeboten werden, sind die beiden Bebauungspläne der Umweltverträglichkeitsprüfung (UVP) unterstellt. Der Grosse Gemeinderat nimmt für den Bebauungsplan die Rolle als Beschlussbehörde ein und ist damit auch für die Festsetzung der UVP zuständig.</w:t>
      </w:r>
    </w:p>
    <w:p w14:paraId="38734DB9" w14:textId="77777777" w:rsidR="00EB704A" w:rsidRDefault="00EB704A">
      <w:pPr>
        <w:rPr>
          <w:kern w:val="0"/>
          <w:lang w:eastAsia="de-DE"/>
          <w14:ligatures w14:val="none"/>
        </w:rPr>
      </w:pPr>
      <w:r>
        <w:t>Die Revision bildet die Grundlage für eine sorgfältig abgestimmte Weiterentwicklung eines zentralen Areals in der Stadt Zug. Sie berücksichtigt städtebauliche und ökologische Anforderungen wie auch Anliegen der Bevölkerung und schafft die Voraussetzungen für ein lebendiges, vielfältiges und nachhaltig gestaltetes Stadtquartier.</w:t>
      </w:r>
    </w:p>
    <w:p w14:paraId="1772667B"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2. Bebauungsplan</w:t>
      </w:r>
    </w:p>
    <w:p w14:paraId="7966A6CD" w14:textId="77777777" w:rsidR="00EB704A" w:rsidRDefault="00EB704A">
      <w:pPr>
        <w:rPr>
          <w:kern w:val="0"/>
          <w:lang w:eastAsia="de-DE"/>
          <w14:ligatures w14:val="none"/>
        </w:rPr>
      </w:pPr>
      <w:r>
        <w:t>Der Bebauungsplan umfasst die Bestimmungen und den Situationsplan (siehe Anhang). Weitere erläuternde Unterlagen sind unter www.stadtzug.ch/metalli verfügbar (Hinweis: Links können in dieser Version nicht als anklickbare Verknüpfungen eingefügt werden).</w:t>
      </w:r>
    </w:p>
    <w:p w14:paraId="081DBD48"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lastRenderedPageBreak/>
        <w:t>3. Bebauung und Nutzung</w:t>
      </w:r>
    </w:p>
    <w:p w14:paraId="66AF3B7A" w14:textId="77777777" w:rsidR="00EB704A" w:rsidRDefault="00EB704A">
      <w:pPr>
        <w:rPr>
          <w:kern w:val="0"/>
          <w:lang w:eastAsia="de-DE"/>
          <w14:ligatures w14:val="none"/>
        </w:rPr>
      </w:pPr>
      <w:r>
        <w:t>Damit das Einkaufszentrum Metalli auch künftigen Bedürfnissen gerecht wird, soll es sich zum «Lebensraum Metalli» weiterentwickeln. Bisher war die Metalli eine gut funktionierende, zugängliche, aber hauptsächlich nach innen orientierte Insel. Mit dem neuen Bebauungsplan wird die Metalli zum zentralen Stadtbaustein transformiert: Das Areal öffnet sich nach aussen, wird durchlässiger und vernetzt die umliegenden Stadtquartiere besser. Es wird Teil der Stadt.</w:t>
      </w:r>
    </w:p>
    <w:p w14:paraId="1CB5D391" w14:textId="77777777" w:rsidR="00EB704A" w:rsidRDefault="00EB704A">
      <w:pPr>
        <w:rPr>
          <w:kern w:val="0"/>
          <w:lang w:eastAsia="de-DE"/>
          <w14:ligatures w14:val="none"/>
        </w:rPr>
      </w:pPr>
      <w:r>
        <w:t>Räumlich verändert sich das Geviert Metalli in erster Linie an der nordwestlichen Ecke Baarerstrasse/Metallstrasse: Hier entsteht ein Hochhaus (Baubereich B1/B2) mit dem neuen, davor liegenden Metalliplatz. Dazu wird das bestehende Arkadenhaus Baarerstrasse 14 bis 22 (Baubereich D) verkürzt. Der übrige Gebäudebestand bleibt grösstmöglich erhalten bzw. wird durch Aufstockungen erweitert. Identitätsstiftende Elemente wie die glasüberdeckte Halle und die Passagen bleiben weitestgehend erhalten.</w:t>
      </w:r>
    </w:p>
    <w:p w14:paraId="60380A33" w14:textId="77777777" w:rsidR="00EB704A" w:rsidRDefault="00EB704A">
      <w:pPr>
        <w:rPr>
          <w:kern w:val="0"/>
          <w:lang w:eastAsia="de-DE"/>
          <w14:ligatures w14:val="none"/>
        </w:rPr>
      </w:pPr>
      <w:r>
        <w:t>Im Baubereich B1/B2 ist ein Hochhaus mit einer maximalen Höhe von 80 Metern vorgesehen. Das konkrete Projekt soll aus einem qualifizierten Projektwettbewerb nach SIA-Norm 142 hervorgehen. Geplant ist eine Gestaltung mit Rücksprüngen, die Bezüge zu den tieferen Nachbarbauten ermöglicht. Zusätzlich sind Aufstockungen auf dem Mittelbau (Baubereich C) sowie auf dem Gebäude entlang der Industriestrasse (Baubereich E) vorgesehen.</w:t>
      </w:r>
    </w:p>
    <w:p w14:paraId="1B25E7FD" w14:textId="77777777" w:rsidR="00EB704A" w:rsidRDefault="00EB704A">
      <w:pPr>
        <w:rPr>
          <w:kern w:val="0"/>
          <w:lang w:eastAsia="de-DE"/>
          <w14:ligatures w14:val="none"/>
        </w:rPr>
      </w:pPr>
      <w:r>
        <w:t>Die Dachfläche des Arkadenhauses wird begrünt und teilweise begehbar ausgestaltet. In den Baubereichen B2, C, D und E sind mindestens 50 % der Dachflächen zumindest extensiv zu begrünen und ökologisch wertvoll auszugestalten. Die übrigen Dachflächen sind – soweit nicht technisch beansprucht – als Dachterrassen mit hoher Aufenthaltsqualität auszubilden.</w:t>
      </w:r>
    </w:p>
    <w:p w14:paraId="16DD856D"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4. Preisgünstiger Wohnraum</w:t>
      </w:r>
    </w:p>
    <w:p w14:paraId="48C22577" w14:textId="77777777" w:rsidR="00EB704A" w:rsidRDefault="00EB704A">
      <w:pPr>
        <w:rPr>
          <w:kern w:val="0"/>
          <w:lang w:eastAsia="de-DE"/>
          <w14:ligatures w14:val="none"/>
        </w:rPr>
      </w:pPr>
      <w:r>
        <w:t>Am 18. Juni 2023 wurde die Volksinitiative «2000 Wohnungen für den Zuger Mittelstand» mit 50,2 % Ja-Stimmen angenommen. Für die vorliegende Revision ist insbesondere relevant: In allen Verdichtungsgebieten müssen mindestens 40 % der neu erstellten Wohnflächen preisgünstig sein, soweit das kantonale Planungs- und Baugesetz dies zulässt. Dabei ist § 18 Abs. 4 PBG zu berücksichtigen: «In Wohn- und Mischzonen sind Mindestanteile für den preisgünstigen Wohnungsbau bei Neueinzonung, bei Umzonung sowie Aufzonung von einer Fläche von mehr als 5’000 m² und bei ordentlichen Bebauungsplänen jeweils maximal im Umfang der Mehrausnützung zulässig.»</w:t>
      </w:r>
    </w:p>
    <w:p w14:paraId="69566689" w14:textId="77777777" w:rsidR="00EB704A" w:rsidRDefault="00EB704A">
      <w:pPr>
        <w:rPr>
          <w:kern w:val="0"/>
          <w:lang w:eastAsia="de-DE"/>
          <w14:ligatures w14:val="none"/>
        </w:rPr>
      </w:pPr>
      <w:r>
        <w:t xml:space="preserve">Im Bebauungsplan Metalli werden die geforderten preisgünstigen Wohnungen umgesetzt. Das Richtprojekt sieht 160 neue Wohnungen vor, davon 64 Wohnungen zu preisgünstigen Mietzinsen. Da beim Rückbau des Arkadenhauses (Baubereich D) auch </w:t>
      </w:r>
      <w:r>
        <w:lastRenderedPageBreak/>
        <w:t>30 Wohnungen betroffen sind, werden effektiv 130 zusätzliche Wohnungen geschaffen. Der Anteil preisgünstiger Wohnungen liegt damit insgesamt bei 49 %.</w:t>
      </w:r>
    </w:p>
    <w:p w14:paraId="02B7D459"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5. Freiraum</w:t>
      </w:r>
    </w:p>
    <w:p w14:paraId="112CDFBD" w14:textId="77777777" w:rsidR="00EB704A" w:rsidRDefault="00EB704A">
      <w:pPr>
        <w:rPr>
          <w:kern w:val="0"/>
          <w:lang w:eastAsia="de-DE"/>
          <w14:ligatures w14:val="none"/>
        </w:rPr>
      </w:pPr>
      <w:r>
        <w:t>Es entstehen Freiräume und neue Nutzungsmöglichkeiten, die der Bevölkerung einen Mehrwert bieten. Der Metalliplatz sowie die drei bestehenden, neu zu gestaltenden Plätze (Smalteria, Channenplatz, Stanziplatz) sollen die Aufenthaltsqualität erhöhen. Jeder Platz übernimmt eigene Funktionen und Nutzungsschwerpunkte.</w:t>
      </w:r>
    </w:p>
    <w:p w14:paraId="63AE0A9E" w14:textId="77777777" w:rsidR="00EB704A" w:rsidRDefault="00EB704A">
      <w:pPr>
        <w:rPr>
          <w:kern w:val="0"/>
          <w:lang w:eastAsia="de-DE"/>
          <w14:ligatures w14:val="none"/>
        </w:rPr>
      </w:pPr>
      <w:r>
        <w:t>Der neue Metalliplatz an der Baarerstrasse ist als Ankunftsort und Adresse der Stadt vorgesehen und stärkt die Verbindung zum Bahnhofareal. Fussgängerverbindungen und die Anbindung an die umliegenden Quartiere werden aufgewertet und klarer organisiert. Mit Begrünungen und schattenspendenden Bäumen – am Boden und auf dem Dach – trägt das Areal zur Hitzeminderung und zu einem klimafreundlichen Stadtklima bei.</w:t>
      </w:r>
    </w:p>
    <w:p w14:paraId="28388E37"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6. Erschliessung und Parkierung</w:t>
      </w:r>
    </w:p>
    <w:p w14:paraId="48C977AC" w14:textId="77777777" w:rsidR="00EB704A" w:rsidRDefault="00EB704A">
      <w:pPr>
        <w:rPr>
          <w:kern w:val="0"/>
          <w:lang w:eastAsia="de-DE"/>
          <w14:ligatures w14:val="none"/>
        </w:rPr>
      </w:pPr>
      <w:r>
        <w:t>Durch eine bessere Einbindung ins Fusswegenetz werden wichtige Verbindungen gestärkt, und es werden neue Wege und tägliche Routinen möglich. Für den Veloverkehr umfasst der Bebauungsplan rund 550 zusätzliche Veloabstellplätze; rund 200 davon sind als Kurzzeitabstellplätze auf Erdgeschossniveau bzw. im Aussenraum anzuordnen.</w:t>
      </w:r>
    </w:p>
    <w:p w14:paraId="04D9E4B5" w14:textId="77777777" w:rsidR="00EB704A" w:rsidRDefault="00EB704A">
      <w:pPr>
        <w:rPr>
          <w:kern w:val="0"/>
          <w:lang w:eastAsia="de-DE"/>
          <w14:ligatures w14:val="none"/>
        </w:rPr>
      </w:pPr>
      <w:r>
        <w:t>Die Areale Metalli und Bergli verfügen über eine gemeinsame Tiefgarage mit 900 Parkplätzen. Trotz der vorgesehenen Verdichtung wird das Parkplatzangebot nicht erhöht. Oberirdische Parkfelder sind weiterhin nicht zulässig. Wie bis anhin ist die Hälfte der maximalen Parkplatzzahl öffentlich zugänglich.</w:t>
      </w:r>
    </w:p>
    <w:p w14:paraId="3FAF57E1"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7. Kantonale Vorprüfung</w:t>
      </w:r>
    </w:p>
    <w:p w14:paraId="0595685B" w14:textId="77777777" w:rsidR="00EB704A" w:rsidRDefault="00EB704A">
      <w:pPr>
        <w:rPr>
          <w:kern w:val="0"/>
          <w:lang w:eastAsia="de-DE"/>
          <w14:ligatures w14:val="none"/>
        </w:rPr>
      </w:pPr>
      <w:r>
        <w:t>Der Bebauungsplan Metalli wurde vom Stadtrat am 25. Oktober 2022 zuhanden der Vorprüfung durch die Baudirektion des Kantons Zug verabschiedet. Am 11. April 2023 nahm die Baudirektion Stellung und stellte die Genehmigung ohne Auflagen und Änderungen in Aussicht, sofern die Vorbehalte erfüllt werden. Diese betrafen insbesondere ausreichende Wurzelräume bei grosskronigen Bäumen sowie die lärmtechnische Sanierung der Tiefgarageneinfahrt. Die Punkte wurden berücksichtigt und in die Bebauungsplanbestimmungen aufgenommen.</w:t>
      </w:r>
    </w:p>
    <w:p w14:paraId="29E7831C"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8. Einwendungen</w:t>
      </w:r>
    </w:p>
    <w:p w14:paraId="78C42533" w14:textId="77777777" w:rsidR="00EB704A" w:rsidRDefault="00EB704A">
      <w:pPr>
        <w:rPr>
          <w:kern w:val="0"/>
          <w:lang w:eastAsia="de-DE"/>
          <w14:ligatures w14:val="none"/>
        </w:rPr>
      </w:pPr>
      <w:r>
        <w:t xml:space="preserve">Der Grosse Gemeinderat hat den Bebauungsplan Metalli am 17. Juni 2025 in 1. Lesung beraten. Die Unterlagen wurden von Donnerstag, 26. Juni 2025, bis und mit Freitag, 25. </w:t>
      </w:r>
      <w:r>
        <w:lastRenderedPageBreak/>
        <w:t>Juli 2025, öffentlich aufgelegt und im Amtsblatt des Kantons Zug publiziert. Während der Auflagefrist sind keine Einwendungen eingegangen.</w:t>
      </w:r>
    </w:p>
    <w:p w14:paraId="6C676980"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9. Debatte im Grossen Gemeinderat (1. und 2. Lesung)</w:t>
      </w:r>
    </w:p>
    <w:p w14:paraId="2A5F7020" w14:textId="77777777" w:rsidR="00EB704A" w:rsidRPr="00EB704A" w:rsidRDefault="00EB704A" w:rsidP="00EB704A">
      <w:pPr>
        <w:pStyle w:val="Listenabsatz"/>
        <w:numPr>
          <w:ilvl w:val="0"/>
          <w:numId w:val="2"/>
        </w:numPr>
        <w:rPr>
          <w:kern w:val="0"/>
          <w:sz w:val="20"/>
          <w:szCs w:val="20"/>
          <w:lang w:eastAsia="de-DE"/>
          <w14:ligatures w14:val="none"/>
        </w:rPr>
      </w:pPr>
      <w:r w:rsidRPr="00EB704A">
        <w:rPr>
          <w:b/>
          <w:bCs/>
          <w:sz w:val="20"/>
          <w:szCs w:val="20"/>
        </w:rPr>
        <w:t>Bau- und Planungskommission (BPK):</w:t>
      </w:r>
      <w:r w:rsidRPr="00EB704A">
        <w:rPr>
          <w:sz w:val="20"/>
          <w:szCs w:val="20"/>
        </w:rPr>
        <w:t xml:space="preserve"> Zustimmung mit 8:1 Stimmen; beantragte Änderungen wurden übernommen.</w:t>
      </w:r>
    </w:p>
    <w:p w14:paraId="2A5D43C8" w14:textId="77777777" w:rsidR="00EB704A" w:rsidRDefault="00EB704A" w:rsidP="00EB704A">
      <w:pPr>
        <w:pStyle w:val="Listenabsatz"/>
        <w:numPr>
          <w:ilvl w:val="0"/>
          <w:numId w:val="2"/>
        </w:numPr>
        <w:rPr>
          <w:sz w:val="20"/>
          <w:szCs w:val="20"/>
        </w:rPr>
      </w:pPr>
      <w:r>
        <w:rPr>
          <w:b/>
          <w:bCs/>
          <w:sz w:val="20"/>
          <w:szCs w:val="20"/>
        </w:rPr>
        <w:t>FDP:</w:t>
      </w:r>
      <w:r>
        <w:rPr>
          <w:sz w:val="20"/>
          <w:szCs w:val="20"/>
        </w:rPr>
        <w:t xml:space="preserve"> Einstimmige Unterstützung; gemischte Nutzungen und Durchmischung als Grundlage einer funktionalen städtischen Struktur.</w:t>
      </w:r>
    </w:p>
    <w:p w14:paraId="56FE266C" w14:textId="77777777" w:rsidR="00EB704A" w:rsidRDefault="00EB704A" w:rsidP="00EB704A">
      <w:pPr>
        <w:pStyle w:val="Listenabsatz"/>
        <w:numPr>
          <w:ilvl w:val="0"/>
          <w:numId w:val="2"/>
        </w:numPr>
        <w:rPr>
          <w:sz w:val="20"/>
          <w:szCs w:val="20"/>
        </w:rPr>
      </w:pPr>
      <w:r>
        <w:rPr>
          <w:b/>
          <w:bCs/>
          <w:sz w:val="20"/>
          <w:szCs w:val="20"/>
        </w:rPr>
        <w:t>ALG-CSP:</w:t>
      </w:r>
      <w:r>
        <w:rPr>
          <w:sz w:val="20"/>
          <w:szCs w:val="20"/>
        </w:rPr>
        <w:t xml:space="preserve"> Unterstützung; positiv hervorgehoben werden preisgünstige Wohnungen, keine zusätzlichen Autoparkplätze, nachhaltige Ansätze (Erhalt von Bestandesbauten, Begrünung, PV), sowie der Metalliplatz.</w:t>
      </w:r>
    </w:p>
    <w:p w14:paraId="6F14E41C" w14:textId="77777777" w:rsidR="00EB704A" w:rsidRDefault="00EB704A" w:rsidP="00EB704A">
      <w:pPr>
        <w:pStyle w:val="Listenabsatz"/>
        <w:numPr>
          <w:ilvl w:val="0"/>
          <w:numId w:val="2"/>
        </w:numPr>
        <w:rPr>
          <w:sz w:val="20"/>
          <w:szCs w:val="20"/>
        </w:rPr>
      </w:pPr>
      <w:r>
        <w:rPr>
          <w:b/>
          <w:bCs/>
          <w:sz w:val="20"/>
          <w:szCs w:val="20"/>
        </w:rPr>
        <w:t>Die Mitte:</w:t>
      </w:r>
      <w:r>
        <w:rPr>
          <w:sz w:val="20"/>
          <w:szCs w:val="20"/>
        </w:rPr>
        <w:t xml:space="preserve"> Zustimmung; Hinweise u.a. zur Unterführung, zur Gebäudehöhe an der Industriestrasse und zur Frage des städtebaulichen Mehrwerts des Hochhauses.</w:t>
      </w:r>
    </w:p>
    <w:p w14:paraId="0F7FEF13" w14:textId="77777777" w:rsidR="00EB704A" w:rsidRDefault="00EB704A" w:rsidP="00EB704A">
      <w:pPr>
        <w:pStyle w:val="Listenabsatz"/>
        <w:numPr>
          <w:ilvl w:val="0"/>
          <w:numId w:val="2"/>
        </w:numPr>
        <w:rPr>
          <w:sz w:val="20"/>
          <w:szCs w:val="20"/>
        </w:rPr>
      </w:pPr>
      <w:r>
        <w:rPr>
          <w:b/>
          <w:bCs/>
          <w:sz w:val="20"/>
          <w:szCs w:val="20"/>
        </w:rPr>
        <w:t>SP:</w:t>
      </w:r>
      <w:r>
        <w:rPr>
          <w:sz w:val="20"/>
          <w:szCs w:val="20"/>
        </w:rPr>
        <w:t xml:space="preserve"> Zustimmung zur Aufwertung des Bahnhofsgebietes; besonders begrüsst werden preisgünstige Wohnungen. Mehrere Anträge (u.a. Ziel klimaangepasste Bebauung; Reduktion/Änderungen bei Bestimmungen zu preisgünstigen Flächen; Mindestwohnanteil 60 %) wurden abgelehnt.</w:t>
      </w:r>
    </w:p>
    <w:p w14:paraId="3A036AC5" w14:textId="77777777" w:rsidR="00EB704A" w:rsidRDefault="00EB704A" w:rsidP="00EB704A">
      <w:pPr>
        <w:pStyle w:val="Listenabsatz"/>
        <w:numPr>
          <w:ilvl w:val="0"/>
          <w:numId w:val="2"/>
        </w:numPr>
        <w:rPr>
          <w:sz w:val="20"/>
          <w:szCs w:val="20"/>
        </w:rPr>
      </w:pPr>
      <w:r>
        <w:rPr>
          <w:b/>
          <w:bCs/>
          <w:sz w:val="20"/>
          <w:szCs w:val="20"/>
        </w:rPr>
        <w:t>GLP:</w:t>
      </w:r>
      <w:r>
        <w:rPr>
          <w:sz w:val="20"/>
          <w:szCs w:val="20"/>
        </w:rPr>
        <w:t xml:space="preserve"> Befürwortung; betont werden u.a. Veloparkplätze, Dachgarten, Platz, zusätzliche Wohnungen und etappierte Umsetzung.</w:t>
      </w:r>
    </w:p>
    <w:p w14:paraId="3023CA41" w14:textId="77777777" w:rsidR="00EB704A" w:rsidRDefault="00EB704A" w:rsidP="00EB704A">
      <w:pPr>
        <w:pStyle w:val="Listenabsatz"/>
        <w:numPr>
          <w:ilvl w:val="0"/>
          <w:numId w:val="2"/>
        </w:numPr>
        <w:rPr>
          <w:sz w:val="20"/>
          <w:szCs w:val="20"/>
        </w:rPr>
      </w:pPr>
      <w:r>
        <w:rPr>
          <w:b/>
          <w:bCs/>
          <w:sz w:val="20"/>
          <w:szCs w:val="20"/>
        </w:rPr>
        <w:t>SVP:</w:t>
      </w:r>
      <w:r>
        <w:rPr>
          <w:sz w:val="20"/>
          <w:szCs w:val="20"/>
        </w:rPr>
        <w:t xml:space="preserve"> Lob und Unterstützung; gute Balance zwischen Wohnen, Gewerbe und Freiflächen; Schlussabstimmung: 34 zu 1 Stimmen bei 1 Enthaltung.</w:t>
      </w:r>
    </w:p>
    <w:p w14:paraId="58A91F7B"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10. Argumente des Referendumskomitees</w:t>
      </w:r>
    </w:p>
    <w:p w14:paraId="312A3D9A" w14:textId="77777777" w:rsidR="00EB704A" w:rsidRDefault="00EB704A">
      <w:pPr>
        <w:rPr>
          <w:kern w:val="0"/>
          <w:lang w:eastAsia="de-DE"/>
          <w14:ligatures w14:val="none"/>
        </w:rPr>
      </w:pPr>
      <w:r>
        <w:t>Das Referendumskomitee führt unter anderem folgende Argumente gegen den Bebauungsplan an (sinngemäss aus der Broschüre übernommen):</w:t>
      </w:r>
    </w:p>
    <w:p w14:paraId="2DD4D69C" w14:textId="77777777" w:rsidR="00EB704A" w:rsidRPr="00EB704A" w:rsidRDefault="00EB704A" w:rsidP="00EB704A">
      <w:pPr>
        <w:pStyle w:val="Listenabsatz"/>
        <w:numPr>
          <w:ilvl w:val="0"/>
          <w:numId w:val="3"/>
        </w:numPr>
        <w:rPr>
          <w:kern w:val="0"/>
          <w:sz w:val="20"/>
          <w:szCs w:val="20"/>
          <w:lang w:eastAsia="de-DE"/>
          <w14:ligatures w14:val="none"/>
        </w:rPr>
      </w:pPr>
      <w:r w:rsidRPr="00EB704A">
        <w:rPr>
          <w:sz w:val="20"/>
          <w:szCs w:val="20"/>
        </w:rPr>
        <w:t>Der Bebauungsplan zerstöre ein gut funktionierendes, lebendiges Stadtquartier und verändere den Charakter des Einkaufs- und Begegnungszentrums.</w:t>
      </w:r>
    </w:p>
    <w:p w14:paraId="5939ED32" w14:textId="77777777" w:rsidR="00EB704A" w:rsidRDefault="00EB704A" w:rsidP="00EB704A">
      <w:pPr>
        <w:pStyle w:val="Listenabsatz"/>
        <w:numPr>
          <w:ilvl w:val="0"/>
          <w:numId w:val="3"/>
        </w:numPr>
        <w:rPr>
          <w:sz w:val="20"/>
          <w:szCs w:val="20"/>
        </w:rPr>
      </w:pPr>
      <w:r>
        <w:rPr>
          <w:sz w:val="20"/>
          <w:szCs w:val="20"/>
        </w:rPr>
        <w:t>Er bringe ein weiteres 80-Meter-Hochhaus, das die gedeckte Hauptpassage beeinträchtige und das historische «Bärenensemble» beschatte.</w:t>
      </w:r>
    </w:p>
    <w:p w14:paraId="1E4D7ECB" w14:textId="77777777" w:rsidR="00EB704A" w:rsidRDefault="00EB704A" w:rsidP="00EB704A">
      <w:pPr>
        <w:pStyle w:val="Listenabsatz"/>
        <w:numPr>
          <w:ilvl w:val="0"/>
          <w:numId w:val="3"/>
        </w:numPr>
        <w:rPr>
          <w:sz w:val="20"/>
          <w:szCs w:val="20"/>
        </w:rPr>
      </w:pPr>
      <w:r>
        <w:rPr>
          <w:sz w:val="20"/>
          <w:szCs w:val="20"/>
        </w:rPr>
        <w:t>Er greife in die bestehende Quartierstruktur ein, entferne wichtige Bauteile entlang der Baarerstrasse und ersetze diese durch einen höheren Neubau.</w:t>
      </w:r>
    </w:p>
    <w:p w14:paraId="1E05ED3E" w14:textId="77777777" w:rsidR="00EB704A" w:rsidRDefault="00EB704A" w:rsidP="00EB704A">
      <w:pPr>
        <w:pStyle w:val="Listenabsatz"/>
        <w:numPr>
          <w:ilvl w:val="0"/>
          <w:numId w:val="3"/>
        </w:numPr>
        <w:rPr>
          <w:sz w:val="20"/>
          <w:szCs w:val="20"/>
        </w:rPr>
      </w:pPr>
      <w:r>
        <w:rPr>
          <w:sz w:val="20"/>
          <w:szCs w:val="20"/>
        </w:rPr>
        <w:t>Er raube der Stadt ein Stück Identität; die Metalli sei ein erhaltenswerter Zeitzeuge der architektonischen Postmoderne.</w:t>
      </w:r>
    </w:p>
    <w:p w14:paraId="646B1F8A" w14:textId="77777777" w:rsidR="00EB704A" w:rsidRDefault="00EB704A" w:rsidP="00EB704A">
      <w:pPr>
        <w:pStyle w:val="Listenabsatz"/>
        <w:numPr>
          <w:ilvl w:val="0"/>
          <w:numId w:val="3"/>
        </w:numPr>
        <w:rPr>
          <w:sz w:val="20"/>
          <w:szCs w:val="20"/>
        </w:rPr>
      </w:pPr>
      <w:r>
        <w:rPr>
          <w:sz w:val="20"/>
          <w:szCs w:val="20"/>
        </w:rPr>
        <w:t>Er eliminiere intakten Wohn- und Gewerberaum; «günstige» Wohnungen würden ohne konkrete Zahlen und Mietpreise in Aussicht gestellt.</w:t>
      </w:r>
    </w:p>
    <w:p w14:paraId="7CA5DDED" w14:textId="77777777" w:rsidR="00EB704A" w:rsidRDefault="00EB704A" w:rsidP="00EB704A">
      <w:pPr>
        <w:pStyle w:val="Listenabsatz"/>
        <w:numPr>
          <w:ilvl w:val="0"/>
          <w:numId w:val="3"/>
        </w:numPr>
        <w:rPr>
          <w:sz w:val="20"/>
          <w:szCs w:val="20"/>
        </w:rPr>
      </w:pPr>
      <w:r>
        <w:rPr>
          <w:sz w:val="20"/>
          <w:szCs w:val="20"/>
        </w:rPr>
        <w:t>Er zerstöre Passagen und Arkaden, die heute Erschliessungen und Bezugspunkte zu Nachbarbauten und Stadträumen schaffen.</w:t>
      </w:r>
    </w:p>
    <w:p w14:paraId="023FC36A" w14:textId="77777777" w:rsidR="00EB704A" w:rsidRDefault="00EB704A" w:rsidP="00EB704A">
      <w:pPr>
        <w:pStyle w:val="Listenabsatz"/>
        <w:numPr>
          <w:ilvl w:val="0"/>
          <w:numId w:val="3"/>
        </w:numPr>
        <w:rPr>
          <w:sz w:val="20"/>
          <w:szCs w:val="20"/>
        </w:rPr>
      </w:pPr>
      <w:r>
        <w:rPr>
          <w:sz w:val="20"/>
          <w:szCs w:val="20"/>
        </w:rPr>
        <w:t>Er verschlechtere die Anbindung an den Bahnhof; der geplante Platz liege an einer «falschen» Stelle und führe in eine Sackgasse.</w:t>
      </w:r>
    </w:p>
    <w:p w14:paraId="633865CA" w14:textId="77777777" w:rsidR="00EB704A" w:rsidRDefault="00EB704A" w:rsidP="00EB704A">
      <w:pPr>
        <w:pStyle w:val="Listenabsatz"/>
        <w:numPr>
          <w:ilvl w:val="0"/>
          <w:numId w:val="3"/>
        </w:numPr>
        <w:rPr>
          <w:sz w:val="20"/>
          <w:szCs w:val="20"/>
        </w:rPr>
      </w:pPr>
      <w:r>
        <w:rPr>
          <w:sz w:val="20"/>
          <w:szCs w:val="20"/>
        </w:rPr>
        <w:t>Er verhindere eine Alternative mit massvoller Verdichtung und respektvollem Umgang mit dem Bestand.</w:t>
      </w:r>
    </w:p>
    <w:p w14:paraId="05A5DDA4" w14:textId="77777777" w:rsidR="00EB704A" w:rsidRDefault="00EB704A" w:rsidP="00EB704A">
      <w:pPr>
        <w:pStyle w:val="Listenabsatz"/>
        <w:numPr>
          <w:ilvl w:val="0"/>
          <w:numId w:val="3"/>
        </w:numPr>
        <w:rPr>
          <w:sz w:val="20"/>
          <w:szCs w:val="20"/>
        </w:rPr>
      </w:pPr>
      <w:r>
        <w:rPr>
          <w:sz w:val="20"/>
          <w:szCs w:val="20"/>
        </w:rPr>
        <w:t>Er missachte Nachhaltigkeit durch Abbruch von Bausubstanz, die keine 40 Jahre alt sei.</w:t>
      </w:r>
    </w:p>
    <w:p w14:paraId="47348C3B" w14:textId="77777777" w:rsidR="00EB704A" w:rsidRDefault="00EB704A" w:rsidP="00EB704A">
      <w:pPr>
        <w:pStyle w:val="Listenabsatz"/>
        <w:numPr>
          <w:ilvl w:val="0"/>
          <w:numId w:val="3"/>
        </w:numPr>
        <w:rPr>
          <w:sz w:val="20"/>
          <w:szCs w:val="20"/>
        </w:rPr>
      </w:pPr>
      <w:r>
        <w:rPr>
          <w:b/>
          <w:bCs/>
          <w:sz w:val="20"/>
          <w:szCs w:val="20"/>
        </w:rPr>
        <w:t>Fazit des Komitees:</w:t>
      </w:r>
      <w:r>
        <w:rPr>
          <w:sz w:val="20"/>
          <w:szCs w:val="20"/>
        </w:rPr>
        <w:t xml:space="preserve"> Nein zum Bebauungsplan Metalli.</w:t>
      </w:r>
    </w:p>
    <w:p w14:paraId="66E91CEF"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lastRenderedPageBreak/>
        <w:t>Beschlusstext</w:t>
      </w:r>
    </w:p>
    <w:p w14:paraId="1D9E4824" w14:textId="77777777" w:rsidR="00EB704A" w:rsidRDefault="00EB704A">
      <w:pPr>
        <w:rPr>
          <w:kern w:val="0"/>
          <w:lang w:eastAsia="de-DE"/>
          <w14:ligatures w14:val="none"/>
        </w:rPr>
      </w:pPr>
      <w:r>
        <w:t>Der Grosse Gemeinderat von Zug beschliesst in Kenntnis von Bericht und Antrag des Stadtrats Nr. 2941 vom 8. April 2025 (1. Lesung) und Nr. 2941.2 vom 9. September 2025 (2. Lesung):</w:t>
      </w:r>
    </w:p>
    <w:p w14:paraId="0D5D6483" w14:textId="77777777" w:rsidR="00EB704A" w:rsidRPr="00EB704A" w:rsidRDefault="00EB704A" w:rsidP="00EB704A">
      <w:pPr>
        <w:pStyle w:val="Listenabsatz"/>
        <w:numPr>
          <w:ilvl w:val="0"/>
          <w:numId w:val="4"/>
        </w:numPr>
        <w:rPr>
          <w:kern w:val="0"/>
          <w:sz w:val="20"/>
          <w:szCs w:val="20"/>
          <w:lang w:eastAsia="de-DE"/>
          <w14:ligatures w14:val="none"/>
        </w:rPr>
      </w:pPr>
      <w:r w:rsidRPr="00EB704A">
        <w:rPr>
          <w:sz w:val="20"/>
          <w:szCs w:val="20"/>
        </w:rPr>
        <w:t>Der Bebauungsplan Metalli, Plan Nr. 7518, wird bei gleichzeitiger Feststellung der Umweltverträglichkeit festgesetzt.</w:t>
      </w:r>
    </w:p>
    <w:p w14:paraId="52E5A684" w14:textId="77777777" w:rsidR="00EB704A" w:rsidRDefault="00EB704A" w:rsidP="00EB704A">
      <w:pPr>
        <w:pStyle w:val="Listenabsatz"/>
        <w:numPr>
          <w:ilvl w:val="0"/>
          <w:numId w:val="4"/>
        </w:numPr>
        <w:rPr>
          <w:sz w:val="20"/>
          <w:szCs w:val="20"/>
        </w:rPr>
      </w:pPr>
      <w:r>
        <w:rPr>
          <w:sz w:val="20"/>
          <w:szCs w:val="20"/>
        </w:rPr>
        <w:t>Der Stadtrat wird mit dem Vollzug beauftragt.</w:t>
      </w:r>
    </w:p>
    <w:p w14:paraId="4F32073E" w14:textId="77777777" w:rsidR="00EB704A" w:rsidRDefault="00EB704A" w:rsidP="00EB704A">
      <w:pPr>
        <w:pStyle w:val="Listenabsatz"/>
        <w:numPr>
          <w:ilvl w:val="0"/>
          <w:numId w:val="4"/>
        </w:numPr>
        <w:rPr>
          <w:sz w:val="20"/>
          <w:szCs w:val="20"/>
        </w:rPr>
      </w:pPr>
      <w:r>
        <w:rPr>
          <w:sz w:val="20"/>
          <w:szCs w:val="20"/>
        </w:rPr>
        <w:t>Das Baudepartement wird gestützt auf § 41 des Planungs- und Baugesetzes (PBG) sowie § 7 Abs. 4 EG USG beauftragt, diesen Beschluss nach unbenütztem Ablauf der Referendumsfrist oder nach einer allfälligen Urnenabstimmung zweimal im Amtsblatt zu publizieren und während 30 Tagen öffentlich aufzulegen.</w:t>
      </w:r>
    </w:p>
    <w:p w14:paraId="4D4CC7F0" w14:textId="77777777" w:rsidR="00EB704A" w:rsidRDefault="00EB704A" w:rsidP="00EB704A">
      <w:pPr>
        <w:pStyle w:val="Listenabsatz"/>
        <w:numPr>
          <w:ilvl w:val="0"/>
          <w:numId w:val="4"/>
        </w:numPr>
        <w:rPr>
          <w:sz w:val="20"/>
          <w:szCs w:val="20"/>
        </w:rPr>
      </w:pPr>
      <w:r>
        <w:rPr>
          <w:sz w:val="20"/>
          <w:szCs w:val="20"/>
        </w:rPr>
        <w:t>Dieser Beschluss tritt unter dem Vorbehalt des fakultativen Referendums gemäss § 8 der Gemeindeordnung der Stadt Zug mit Eintritt der Rechtskraft der Genehmigung durch den Regierungsrat in Kraft. Er wird in die Amtliche Sammlung der Ratsbeschlüsse aufgenommen.</w:t>
      </w:r>
    </w:p>
    <w:p w14:paraId="159F2A0B" w14:textId="77777777" w:rsidR="00EB704A" w:rsidRDefault="00EB704A" w:rsidP="00EB704A">
      <w:pPr>
        <w:pStyle w:val="Listenabsatz"/>
        <w:numPr>
          <w:ilvl w:val="0"/>
          <w:numId w:val="4"/>
        </w:numPr>
        <w:rPr>
          <w:sz w:val="20"/>
          <w:szCs w:val="20"/>
        </w:rPr>
      </w:pPr>
      <w:r>
        <w:rPr>
          <w:sz w:val="20"/>
          <w:szCs w:val="20"/>
        </w:rPr>
        <w:t>Gegen diesen Beschluss kann gemäss § 17 bis des Gemeindegesetzes in Verbindung mit §§ 67 ff. des Wahl- und Abstimmungsgesetzes wegen Verletzung des Stimmrechts beim Regierungsrat des Kantons Zug, Postfach, 6301 Zug, schriftlich Stimmrechtsbeschwerde erhoben werden. Die Beschwerdefrist beträgt zehn Tage und der Fristenlauf beginnt am Tag nach der Veröffentlichung im Amtsblatt. Die Beschwerdeschrift muss einen Antrag und eine Begründung enthalten. Der angefochtene Beschluss ist genau zu bezeichnen. Die Beweismittel sind zu benennen und soweit möglich beizulegen.</w:t>
      </w:r>
    </w:p>
    <w:p w14:paraId="1605D74D" w14:textId="77777777" w:rsidR="00EB704A" w:rsidRDefault="00EB704A">
      <w:pPr>
        <w:rPr>
          <w:kern w:val="0"/>
          <w:lang w:eastAsia="de-DE"/>
          <w14:ligatures w14:val="none"/>
        </w:rPr>
      </w:pPr>
      <w:r>
        <w:t>Wer diesen Beschluss des Grossen Gemeinderates annehmen will, schreibe JA, wer ihn ablehnen will, schreibe NEIN.</w:t>
      </w:r>
    </w:p>
    <w:p w14:paraId="332E2509"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Anhang: Bebauungsplan Metalli – Bestimmungen (Textfassung)</w:t>
      </w:r>
    </w:p>
    <w:p w14:paraId="15580354" w14:textId="77777777" w:rsidR="00EB704A" w:rsidRDefault="00EB704A">
      <w:pPr>
        <w:rPr>
          <w:kern w:val="0"/>
          <w:lang w:eastAsia="de-DE"/>
          <w14:ligatures w14:val="none"/>
        </w:rPr>
      </w:pPr>
      <w:r>
        <w:rPr>
          <w:b/>
          <w:bCs/>
        </w:rPr>
        <w:t>Stand:</w:t>
      </w:r>
      <w:r>
        <w:t xml:space="preserve"> 2. Lesung GGR – Plan Nr. 7518 (ersetzt Plan Nr. 7082 vom 23.07.2010).</w:t>
      </w:r>
      <w:r>
        <w:br/>
      </w:r>
      <w:r>
        <w:rPr>
          <w:b/>
          <w:bCs/>
        </w:rPr>
        <w:t>Datum:</w:t>
      </w:r>
      <w:r>
        <w:t xml:space="preserve"> 24.01.2025, revidiert 14.08.2025.</w:t>
      </w:r>
    </w:p>
    <w:p w14:paraId="34BB7B09"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t>Kapitelübersicht</w:t>
      </w:r>
    </w:p>
    <w:p w14:paraId="3A05B23C" w14:textId="77777777" w:rsidR="00EB704A" w:rsidRPr="00EB704A" w:rsidRDefault="00EB704A" w:rsidP="00EB704A">
      <w:pPr>
        <w:pStyle w:val="Listenabsatz"/>
        <w:numPr>
          <w:ilvl w:val="0"/>
          <w:numId w:val="5"/>
        </w:numPr>
        <w:rPr>
          <w:kern w:val="0"/>
          <w:sz w:val="20"/>
          <w:szCs w:val="20"/>
          <w:lang w:eastAsia="de-DE"/>
          <w14:ligatures w14:val="none"/>
        </w:rPr>
      </w:pPr>
      <w:r w:rsidRPr="00EB704A">
        <w:rPr>
          <w:sz w:val="20"/>
          <w:szCs w:val="20"/>
        </w:rPr>
        <w:t>Allgemeine Bestimmungen</w:t>
      </w:r>
    </w:p>
    <w:p w14:paraId="07936864" w14:textId="77777777" w:rsidR="00EB704A" w:rsidRDefault="00EB704A" w:rsidP="00EB704A">
      <w:pPr>
        <w:pStyle w:val="Listenabsatz"/>
        <w:numPr>
          <w:ilvl w:val="0"/>
          <w:numId w:val="5"/>
        </w:numPr>
        <w:rPr>
          <w:sz w:val="20"/>
          <w:szCs w:val="20"/>
        </w:rPr>
      </w:pPr>
      <w:r>
        <w:rPr>
          <w:sz w:val="20"/>
          <w:szCs w:val="20"/>
        </w:rPr>
        <w:t>Bebauung</w:t>
      </w:r>
    </w:p>
    <w:p w14:paraId="3D186778" w14:textId="77777777" w:rsidR="00EB704A" w:rsidRDefault="00EB704A" w:rsidP="00EB704A">
      <w:pPr>
        <w:pStyle w:val="Listenabsatz"/>
        <w:numPr>
          <w:ilvl w:val="0"/>
          <w:numId w:val="5"/>
        </w:numPr>
        <w:rPr>
          <w:sz w:val="20"/>
          <w:szCs w:val="20"/>
        </w:rPr>
      </w:pPr>
      <w:r>
        <w:rPr>
          <w:sz w:val="20"/>
          <w:szCs w:val="20"/>
        </w:rPr>
        <w:t>Nutzung der Baubereiche</w:t>
      </w:r>
    </w:p>
    <w:p w14:paraId="6C4647B3" w14:textId="77777777" w:rsidR="00EB704A" w:rsidRDefault="00EB704A" w:rsidP="00EB704A">
      <w:pPr>
        <w:pStyle w:val="Listenabsatz"/>
        <w:numPr>
          <w:ilvl w:val="0"/>
          <w:numId w:val="5"/>
        </w:numPr>
        <w:rPr>
          <w:sz w:val="20"/>
          <w:szCs w:val="20"/>
        </w:rPr>
      </w:pPr>
      <w:r>
        <w:rPr>
          <w:sz w:val="20"/>
          <w:szCs w:val="20"/>
        </w:rPr>
        <w:t>Erschliessung</w:t>
      </w:r>
    </w:p>
    <w:p w14:paraId="5F398773" w14:textId="77777777" w:rsidR="00EB704A" w:rsidRDefault="00EB704A" w:rsidP="00EB704A">
      <w:pPr>
        <w:pStyle w:val="Listenabsatz"/>
        <w:numPr>
          <w:ilvl w:val="0"/>
          <w:numId w:val="5"/>
        </w:numPr>
        <w:rPr>
          <w:sz w:val="20"/>
          <w:szCs w:val="20"/>
        </w:rPr>
      </w:pPr>
      <w:r>
        <w:rPr>
          <w:sz w:val="20"/>
          <w:szCs w:val="20"/>
        </w:rPr>
        <w:t>Freiraum</w:t>
      </w:r>
    </w:p>
    <w:p w14:paraId="3D0E367F" w14:textId="77777777" w:rsidR="00EB704A" w:rsidRDefault="00EB704A" w:rsidP="00EB704A">
      <w:pPr>
        <w:pStyle w:val="Listenabsatz"/>
        <w:numPr>
          <w:ilvl w:val="0"/>
          <w:numId w:val="5"/>
        </w:numPr>
        <w:rPr>
          <w:sz w:val="20"/>
          <w:szCs w:val="20"/>
        </w:rPr>
      </w:pPr>
      <w:r>
        <w:rPr>
          <w:sz w:val="20"/>
          <w:szCs w:val="20"/>
        </w:rPr>
        <w:t>Ver- und Entsorgung / Umwelt</w:t>
      </w:r>
    </w:p>
    <w:p w14:paraId="654D794E" w14:textId="77777777" w:rsidR="00EB704A" w:rsidRDefault="00EB704A" w:rsidP="00EB704A">
      <w:pPr>
        <w:pStyle w:val="Listenabsatz"/>
        <w:numPr>
          <w:ilvl w:val="0"/>
          <w:numId w:val="5"/>
        </w:numPr>
        <w:rPr>
          <w:sz w:val="20"/>
          <w:szCs w:val="20"/>
        </w:rPr>
      </w:pPr>
      <w:r>
        <w:rPr>
          <w:sz w:val="20"/>
          <w:szCs w:val="20"/>
        </w:rPr>
        <w:t>Schlussbestimmungen</w:t>
      </w:r>
    </w:p>
    <w:p w14:paraId="476C02AB"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lastRenderedPageBreak/>
        <w:t>Kapitel 1: Allgemeine Bestimmungen</w:t>
      </w:r>
    </w:p>
    <w:p w14:paraId="5AD1B24D" w14:textId="77777777" w:rsidR="00EB704A" w:rsidRDefault="00EB704A">
      <w:pPr>
        <w:pStyle w:val="berschrift3"/>
        <w:rPr>
          <w:rFonts w:cstheme="minorBidi"/>
          <w:kern w:val="0"/>
          <w:sz w:val="27"/>
          <w:szCs w:val="27"/>
          <w:lang w:eastAsia="de-DE"/>
          <w14:ligatures w14:val="none"/>
        </w:rPr>
      </w:pPr>
      <w:r>
        <w:rPr>
          <w:rFonts w:cstheme="minorBidi"/>
        </w:rPr>
        <w:t>Zweck und Ziele</w:t>
      </w:r>
    </w:p>
    <w:p w14:paraId="652D3639" w14:textId="77777777" w:rsidR="00EB704A" w:rsidRDefault="00EB704A">
      <w:pPr>
        <w:rPr>
          <w:kern w:val="0"/>
          <w:lang w:eastAsia="de-DE"/>
          <w14:ligatures w14:val="none"/>
        </w:rPr>
      </w:pPr>
      <w:r>
        <w:t>Der Bebauungsplan Metalli bezweckt die Sicherstellung der aus dem qualitätssichernden Konkurrenzverfahren von 2019 hervorgegangenen und 2024 nachbearbeiteten, gesamtheitlich konzipierten Erneuerung und Verdichtung des Areals Metalli.</w:t>
      </w:r>
    </w:p>
    <w:p w14:paraId="5718F0C7" w14:textId="77777777" w:rsidR="00EB704A" w:rsidRPr="00EB704A" w:rsidRDefault="00EB704A" w:rsidP="00EB704A">
      <w:pPr>
        <w:pStyle w:val="Listenabsatz"/>
        <w:numPr>
          <w:ilvl w:val="0"/>
          <w:numId w:val="6"/>
        </w:numPr>
        <w:rPr>
          <w:kern w:val="0"/>
          <w:sz w:val="20"/>
          <w:szCs w:val="20"/>
          <w:lang w:eastAsia="de-DE"/>
          <w14:ligatures w14:val="none"/>
        </w:rPr>
      </w:pPr>
      <w:r w:rsidRPr="00EB704A">
        <w:rPr>
          <w:sz w:val="20"/>
          <w:szCs w:val="20"/>
        </w:rPr>
        <w:t>Etappierte bauliche Verdichtung durch Aufstockungen oder Ersatz eines Teils der bestehenden Bauten</w:t>
      </w:r>
    </w:p>
    <w:p w14:paraId="72D9DC94" w14:textId="77777777" w:rsidR="00EB704A" w:rsidRDefault="00EB704A" w:rsidP="00EB704A">
      <w:pPr>
        <w:pStyle w:val="Listenabsatz"/>
        <w:numPr>
          <w:ilvl w:val="0"/>
          <w:numId w:val="6"/>
        </w:numPr>
        <w:rPr>
          <w:sz w:val="20"/>
          <w:szCs w:val="20"/>
        </w:rPr>
      </w:pPr>
      <w:r>
        <w:rPr>
          <w:sz w:val="20"/>
          <w:szCs w:val="20"/>
        </w:rPr>
        <w:t>Aufwertung bestehender und Schaffung neuer identitätsstiftender und aufenthaltsfreundlicher Freiräume</w:t>
      </w:r>
    </w:p>
    <w:p w14:paraId="2AF01540" w14:textId="77777777" w:rsidR="00EB704A" w:rsidRDefault="00EB704A" w:rsidP="00EB704A">
      <w:pPr>
        <w:pStyle w:val="Listenabsatz"/>
        <w:numPr>
          <w:ilvl w:val="0"/>
          <w:numId w:val="6"/>
        </w:numPr>
        <w:rPr>
          <w:sz w:val="20"/>
          <w:szCs w:val="20"/>
        </w:rPr>
      </w:pPr>
      <w:r>
        <w:rPr>
          <w:sz w:val="20"/>
          <w:szCs w:val="20"/>
        </w:rPr>
        <w:t>Optimierung der Wegführung und Verbesserung der Vernetzung mit umliegenden Quartieren sowie der Anbindung an den Bahnhof</w:t>
      </w:r>
    </w:p>
    <w:p w14:paraId="576BF8E9" w14:textId="77777777" w:rsidR="00EB704A" w:rsidRDefault="00EB704A" w:rsidP="00EB704A">
      <w:pPr>
        <w:pStyle w:val="Listenabsatz"/>
        <w:numPr>
          <w:ilvl w:val="0"/>
          <w:numId w:val="6"/>
        </w:numPr>
        <w:rPr>
          <w:sz w:val="20"/>
          <w:szCs w:val="20"/>
        </w:rPr>
      </w:pPr>
      <w:r>
        <w:rPr>
          <w:sz w:val="20"/>
          <w:szCs w:val="20"/>
        </w:rPr>
        <w:t>Schaffung vielfältiger Nutzungsangebote</w:t>
      </w:r>
    </w:p>
    <w:p w14:paraId="6438F97B" w14:textId="77777777" w:rsidR="00EB704A" w:rsidRDefault="00EB704A" w:rsidP="00EB704A">
      <w:pPr>
        <w:pStyle w:val="Listenabsatz"/>
        <w:numPr>
          <w:ilvl w:val="0"/>
          <w:numId w:val="6"/>
        </w:numPr>
        <w:rPr>
          <w:sz w:val="20"/>
          <w:szCs w:val="20"/>
        </w:rPr>
      </w:pPr>
      <w:r>
        <w:rPr>
          <w:sz w:val="20"/>
          <w:szCs w:val="20"/>
        </w:rPr>
        <w:t>Schaffung preisgünstigen Wohnraums für gesellschaftliche und soziale Durchmischung</w:t>
      </w:r>
    </w:p>
    <w:p w14:paraId="78C7C0AB" w14:textId="77777777" w:rsidR="00EB704A" w:rsidRDefault="00EB704A" w:rsidP="00EB704A">
      <w:pPr>
        <w:pStyle w:val="Listenabsatz"/>
        <w:numPr>
          <w:ilvl w:val="0"/>
          <w:numId w:val="6"/>
        </w:numPr>
        <w:rPr>
          <w:sz w:val="20"/>
          <w:szCs w:val="20"/>
        </w:rPr>
      </w:pPr>
      <w:r>
        <w:rPr>
          <w:sz w:val="20"/>
          <w:szCs w:val="20"/>
        </w:rPr>
        <w:t>Ermöglichung eines Hochhauses als Auftritt an der Baarerstrasse</w:t>
      </w:r>
    </w:p>
    <w:p w14:paraId="66AFDC09" w14:textId="77777777" w:rsidR="00EB704A" w:rsidRDefault="00EB704A">
      <w:pPr>
        <w:pStyle w:val="berschrift3"/>
        <w:rPr>
          <w:rFonts w:cstheme="minorBidi"/>
          <w:kern w:val="0"/>
          <w:sz w:val="27"/>
          <w:szCs w:val="27"/>
          <w:lang w:eastAsia="de-DE"/>
          <w14:ligatures w14:val="none"/>
        </w:rPr>
      </w:pPr>
      <w:r>
        <w:rPr>
          <w:rFonts w:cstheme="minorBidi"/>
        </w:rPr>
        <w:t>Geltungsbereich und Bestandteile</w:t>
      </w:r>
    </w:p>
    <w:p w14:paraId="6951E123" w14:textId="77777777" w:rsidR="00EB704A" w:rsidRDefault="00EB704A">
      <w:pPr>
        <w:rPr>
          <w:kern w:val="0"/>
          <w:lang w:eastAsia="de-DE"/>
          <w14:ligatures w14:val="none"/>
        </w:rPr>
      </w:pPr>
      <w:r>
        <w:t>Der Geltungsbereich des Bebauungsplans ist im dazugehörigen Situationsplan im Massstab 1:500 festgelegt. Verbindliche Bestandteile bilden die Bestimmungen sowie der Situationsplan.</w:t>
      </w:r>
    </w:p>
    <w:p w14:paraId="74F8E0E4"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t>Kapitel 2: Bebauung</w:t>
      </w:r>
    </w:p>
    <w:p w14:paraId="29B08715" w14:textId="77777777" w:rsidR="00EB704A" w:rsidRDefault="00EB704A">
      <w:pPr>
        <w:pStyle w:val="berschrift3"/>
        <w:rPr>
          <w:rFonts w:cstheme="minorBidi"/>
          <w:kern w:val="0"/>
          <w:sz w:val="27"/>
          <w:szCs w:val="27"/>
          <w:lang w:eastAsia="de-DE"/>
          <w14:ligatures w14:val="none"/>
        </w:rPr>
      </w:pPr>
      <w:r>
        <w:rPr>
          <w:rFonts w:cstheme="minorBidi"/>
        </w:rPr>
        <w:t>Gestaltungsgrundsätze Bebauung (Auszug)</w:t>
      </w:r>
    </w:p>
    <w:p w14:paraId="541FB4FB" w14:textId="77777777" w:rsidR="00EB704A" w:rsidRPr="00EB704A" w:rsidRDefault="00EB704A" w:rsidP="00EB704A">
      <w:pPr>
        <w:pStyle w:val="Listenabsatz"/>
        <w:numPr>
          <w:ilvl w:val="0"/>
          <w:numId w:val="7"/>
        </w:numPr>
        <w:rPr>
          <w:kern w:val="0"/>
          <w:sz w:val="20"/>
          <w:szCs w:val="20"/>
          <w:lang w:eastAsia="de-DE"/>
          <w14:ligatures w14:val="none"/>
        </w:rPr>
      </w:pPr>
      <w:r w:rsidRPr="00EB704A">
        <w:rPr>
          <w:sz w:val="20"/>
          <w:szCs w:val="20"/>
        </w:rPr>
        <w:t>Hochhaus im Baubereich B1 mit vorspringendem Sockel zur Metallstrasse (Baubereich B2); Arkaden im Erdgeschoss entlang Baarer- und Metallstrasse.</w:t>
      </w:r>
    </w:p>
    <w:p w14:paraId="5F6ED5ED" w14:textId="77777777" w:rsidR="00EB704A" w:rsidRDefault="00EB704A" w:rsidP="00EB704A">
      <w:pPr>
        <w:pStyle w:val="Listenabsatz"/>
        <w:numPr>
          <w:ilvl w:val="0"/>
          <w:numId w:val="7"/>
        </w:numPr>
        <w:rPr>
          <w:sz w:val="20"/>
          <w:szCs w:val="20"/>
        </w:rPr>
      </w:pPr>
      <w:r>
        <w:rPr>
          <w:sz w:val="20"/>
          <w:szCs w:val="20"/>
        </w:rPr>
        <w:t>Gebäude im Baubereich D mit Arkaden im Erdgeschoss entlang Baarer- und Gotthardstrasse.</w:t>
      </w:r>
    </w:p>
    <w:p w14:paraId="3A11CFA5" w14:textId="77777777" w:rsidR="00EB704A" w:rsidRDefault="00EB704A" w:rsidP="00EB704A">
      <w:pPr>
        <w:pStyle w:val="Listenabsatz"/>
        <w:numPr>
          <w:ilvl w:val="0"/>
          <w:numId w:val="7"/>
        </w:numPr>
        <w:rPr>
          <w:sz w:val="20"/>
          <w:szCs w:val="20"/>
        </w:rPr>
      </w:pPr>
      <w:r>
        <w:rPr>
          <w:sz w:val="20"/>
          <w:szCs w:val="20"/>
        </w:rPr>
        <w:t>Aufstockungen und Ersatzbauten in den Baubereichen C, D und E müssen einen gestalterischen Bezug zum Bestand aufweisen.</w:t>
      </w:r>
    </w:p>
    <w:p w14:paraId="262EE43C" w14:textId="77777777" w:rsidR="00EB704A" w:rsidRDefault="00EB704A">
      <w:pPr>
        <w:pStyle w:val="berschrift3"/>
        <w:rPr>
          <w:rFonts w:cstheme="minorBidi"/>
          <w:kern w:val="0"/>
          <w:sz w:val="27"/>
          <w:szCs w:val="27"/>
          <w:lang w:eastAsia="de-DE"/>
          <w14:ligatures w14:val="none"/>
        </w:rPr>
      </w:pPr>
      <w:r>
        <w:rPr>
          <w:rFonts w:cstheme="minorBidi"/>
        </w:rPr>
        <w:t>Qualitätssicherung</w:t>
      </w:r>
    </w:p>
    <w:p w14:paraId="0D072889" w14:textId="77777777" w:rsidR="00EB704A" w:rsidRPr="00EB704A" w:rsidRDefault="00EB704A" w:rsidP="00EB704A">
      <w:pPr>
        <w:pStyle w:val="Listenabsatz"/>
        <w:numPr>
          <w:ilvl w:val="0"/>
          <w:numId w:val="8"/>
        </w:numPr>
        <w:rPr>
          <w:kern w:val="0"/>
          <w:sz w:val="20"/>
          <w:szCs w:val="20"/>
          <w:lang w:eastAsia="de-DE"/>
          <w14:ligatures w14:val="none"/>
        </w:rPr>
      </w:pPr>
      <w:r w:rsidRPr="00EB704A">
        <w:rPr>
          <w:sz w:val="20"/>
          <w:szCs w:val="20"/>
        </w:rPr>
        <w:t>Für den im Situationsplan bezeichneten Perimeter ist gestützt auf das Richtprojekt und die Anforderungen des Hochhausreglements ein qualifizierter Projektwettbewerb (SIA 142) für ein Hochhaus durchzuführen.</w:t>
      </w:r>
    </w:p>
    <w:p w14:paraId="66AAD4ED" w14:textId="77777777" w:rsidR="00EB704A" w:rsidRDefault="00EB704A" w:rsidP="00EB704A">
      <w:pPr>
        <w:pStyle w:val="Listenabsatz"/>
        <w:numPr>
          <w:ilvl w:val="0"/>
          <w:numId w:val="8"/>
        </w:numPr>
        <w:rPr>
          <w:sz w:val="20"/>
          <w:szCs w:val="20"/>
        </w:rPr>
      </w:pPr>
      <w:r>
        <w:rPr>
          <w:sz w:val="20"/>
          <w:szCs w:val="20"/>
        </w:rPr>
        <w:t>Im Projektwettbewerb oder einem separaten qualitätssichernden Verfahren ist für Stanziplatz, Smalteria und Channenplatz die Aufwertung mit Grünelementen aufzuzeigen.</w:t>
      </w:r>
    </w:p>
    <w:p w14:paraId="42B77B0A" w14:textId="77777777" w:rsidR="00EB704A" w:rsidRDefault="00EB704A" w:rsidP="00EB704A">
      <w:pPr>
        <w:pStyle w:val="Listenabsatz"/>
        <w:numPr>
          <w:ilvl w:val="0"/>
          <w:numId w:val="8"/>
        </w:numPr>
        <w:rPr>
          <w:sz w:val="20"/>
          <w:szCs w:val="20"/>
        </w:rPr>
      </w:pPr>
      <w:r>
        <w:rPr>
          <w:sz w:val="20"/>
          <w:szCs w:val="20"/>
        </w:rPr>
        <w:t>Aufstockungen oder Ersatzbauten in den Baubereichen C, D und E bedingen – sofern kein qualitätssicherndes Verfahren durchgeführt wird – eine Beurteilung durch die Stadtbildkommission.</w:t>
      </w:r>
    </w:p>
    <w:p w14:paraId="51EBF10A" w14:textId="77777777" w:rsidR="00EB704A" w:rsidRDefault="00EB704A">
      <w:pPr>
        <w:pStyle w:val="berschrift3"/>
        <w:rPr>
          <w:rFonts w:cstheme="minorBidi"/>
          <w:kern w:val="0"/>
          <w:sz w:val="27"/>
          <w:szCs w:val="27"/>
          <w:lang w:eastAsia="de-DE"/>
          <w14:ligatures w14:val="none"/>
        </w:rPr>
      </w:pPr>
      <w:r>
        <w:rPr>
          <w:rFonts w:cstheme="minorBidi"/>
        </w:rPr>
        <w:t>Baubereiche (Auszug)</w:t>
      </w:r>
    </w:p>
    <w:p w14:paraId="4075CB37" w14:textId="77777777" w:rsidR="00EB704A" w:rsidRPr="00EB704A" w:rsidRDefault="00EB704A" w:rsidP="00EB704A">
      <w:pPr>
        <w:pStyle w:val="Listenabsatz"/>
        <w:numPr>
          <w:ilvl w:val="0"/>
          <w:numId w:val="9"/>
        </w:numPr>
        <w:rPr>
          <w:kern w:val="0"/>
          <w:sz w:val="20"/>
          <w:szCs w:val="20"/>
          <w:lang w:eastAsia="de-DE"/>
          <w14:ligatures w14:val="none"/>
        </w:rPr>
      </w:pPr>
      <w:r w:rsidRPr="00EB704A">
        <w:rPr>
          <w:sz w:val="20"/>
          <w:szCs w:val="20"/>
        </w:rPr>
        <w:t>Die Gebäude in den Baubereichen A besitzen Bestandesgarantie im Sinne von § 72 PBG. Ersatzbauten im Umfang der bestehenden Gebäudevolumen sind zulässig; weitergehende Abweichungen bedingen eine Revision des Bebauungsplans.</w:t>
      </w:r>
    </w:p>
    <w:p w14:paraId="0201D7B9" w14:textId="77777777" w:rsidR="00EB704A" w:rsidRDefault="00EB704A" w:rsidP="00EB704A">
      <w:pPr>
        <w:pStyle w:val="Listenabsatz"/>
        <w:numPr>
          <w:ilvl w:val="0"/>
          <w:numId w:val="9"/>
        </w:numPr>
        <w:rPr>
          <w:sz w:val="20"/>
          <w:szCs w:val="20"/>
        </w:rPr>
      </w:pPr>
      <w:r>
        <w:rPr>
          <w:sz w:val="20"/>
          <w:szCs w:val="20"/>
        </w:rPr>
        <w:lastRenderedPageBreak/>
        <w:t>In den Baubereichen B1/B2, C, D und E sind Anbauten, Aufstockungen und Ersatzbauten zulässig. In den Baubereichen C und E ist in erster Linie eine Aufstockung erlaubt; Ersatzbauten über den Bestand hinaus sind dort nur in begründeten Fällen zulässig.</w:t>
      </w:r>
    </w:p>
    <w:p w14:paraId="1BBD8669" w14:textId="77777777" w:rsidR="00EB704A" w:rsidRDefault="00EB704A" w:rsidP="00EB704A">
      <w:pPr>
        <w:pStyle w:val="Listenabsatz"/>
        <w:numPr>
          <w:ilvl w:val="0"/>
          <w:numId w:val="9"/>
        </w:numPr>
        <w:rPr>
          <w:sz w:val="20"/>
          <w:szCs w:val="20"/>
        </w:rPr>
      </w:pPr>
      <w:r>
        <w:rPr>
          <w:sz w:val="20"/>
          <w:szCs w:val="20"/>
        </w:rPr>
        <w:t>Lage und äussere Abmessungen ergeben sich aus Mantellinien und Höhenkoten gemäss Situationsplan/Schnitten. Für B1/B2 ist ein Hochhaus erlaubt (Anordnungsspielraum); für D gilt ebenfalls ein Anordnungsspielraum, zudem ist ein Gebäudeabstand zur Südfassade im Baubereich B2 von mindestens 40 m einzuhalten.</w:t>
      </w:r>
    </w:p>
    <w:p w14:paraId="0F94018F" w14:textId="77777777" w:rsidR="00EB704A" w:rsidRDefault="00EB704A">
      <w:pPr>
        <w:pStyle w:val="berschrift3"/>
        <w:rPr>
          <w:rFonts w:cstheme="minorBidi"/>
          <w:kern w:val="0"/>
          <w:sz w:val="27"/>
          <w:szCs w:val="27"/>
          <w:lang w:eastAsia="de-DE"/>
          <w14:ligatures w14:val="none"/>
        </w:rPr>
      </w:pPr>
      <w:r>
        <w:rPr>
          <w:rFonts w:cstheme="minorBidi"/>
        </w:rPr>
        <w:t>Dachgestaltung (Auszug)</w:t>
      </w:r>
    </w:p>
    <w:p w14:paraId="7ABAAB01" w14:textId="77777777" w:rsidR="00EB704A" w:rsidRPr="00EB704A" w:rsidRDefault="00EB704A" w:rsidP="00EB704A">
      <w:pPr>
        <w:pStyle w:val="Listenabsatz"/>
        <w:numPr>
          <w:ilvl w:val="0"/>
          <w:numId w:val="10"/>
        </w:numPr>
        <w:rPr>
          <w:kern w:val="0"/>
          <w:sz w:val="20"/>
          <w:szCs w:val="20"/>
          <w:lang w:eastAsia="de-DE"/>
          <w14:ligatures w14:val="none"/>
        </w:rPr>
      </w:pPr>
      <w:r w:rsidRPr="00EB704A">
        <w:rPr>
          <w:sz w:val="20"/>
          <w:szCs w:val="20"/>
        </w:rPr>
        <w:t>Technisch bedingte Dachaufbauten sind gestalterisch zu integrieren, räumlich zusammenzufassen und in der Regel von den Fassadenfluchten zurückzuversetzen.</w:t>
      </w:r>
    </w:p>
    <w:p w14:paraId="663F3D9F" w14:textId="77777777" w:rsidR="00EB704A" w:rsidRDefault="00EB704A" w:rsidP="00EB704A">
      <w:pPr>
        <w:pStyle w:val="Listenabsatz"/>
        <w:numPr>
          <w:ilvl w:val="0"/>
          <w:numId w:val="10"/>
        </w:numPr>
        <w:rPr>
          <w:sz w:val="20"/>
          <w:szCs w:val="20"/>
        </w:rPr>
      </w:pPr>
      <w:r>
        <w:rPr>
          <w:sz w:val="20"/>
          <w:szCs w:val="20"/>
        </w:rPr>
        <w:t>In den Baubereichen B2, C, D und E sind mindestens 50 % der Dachflächen extensiv zu begrünen; übrige Flächen sind als hochwertige Dachterrassen auszubilden (soweit nicht technisch beansprucht).</w:t>
      </w:r>
    </w:p>
    <w:p w14:paraId="232BEB22" w14:textId="77777777" w:rsidR="00EB704A" w:rsidRDefault="00EB704A" w:rsidP="00EB704A">
      <w:pPr>
        <w:pStyle w:val="Listenabsatz"/>
        <w:numPr>
          <w:ilvl w:val="0"/>
          <w:numId w:val="10"/>
        </w:numPr>
        <w:rPr>
          <w:sz w:val="20"/>
          <w:szCs w:val="20"/>
        </w:rPr>
      </w:pPr>
      <w:r>
        <w:rPr>
          <w:sz w:val="20"/>
          <w:szCs w:val="20"/>
        </w:rPr>
        <w:t>Die Dachfläche im Baubereich B1 ist extensiv zu begrünen und darf nicht als Dachterrasse genutzt werden.</w:t>
      </w:r>
    </w:p>
    <w:p w14:paraId="3D8FCB1A"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t>Kapitel 3: Nutzung der Baubereiche (Auszug)</w:t>
      </w:r>
    </w:p>
    <w:p w14:paraId="5CE79177" w14:textId="77777777" w:rsidR="00EB704A" w:rsidRDefault="00EB704A">
      <w:pPr>
        <w:rPr>
          <w:kern w:val="0"/>
          <w:lang w:eastAsia="de-DE"/>
          <w14:ligatures w14:val="none"/>
        </w:rPr>
      </w:pPr>
      <w:r>
        <w:rPr>
          <w:b/>
          <w:bCs/>
        </w:rPr>
        <w:t>Nutzungsmass:</w:t>
      </w:r>
      <w:r>
        <w:t xml:space="preserve"> Im Geltungsbereich gilt eine anrechenbare Geschossfläche (aGF) von maximal 88'900 m².</w:t>
      </w:r>
    </w:p>
    <w:p w14:paraId="7F82F27E" w14:textId="77777777" w:rsidR="00EB704A" w:rsidRDefault="00EB704A">
      <w:pPr>
        <w:pStyle w:val="berschrift3"/>
        <w:rPr>
          <w:rFonts w:cstheme="minorBidi"/>
          <w:kern w:val="0"/>
          <w:sz w:val="27"/>
          <w:szCs w:val="27"/>
          <w:lang w:eastAsia="de-DE"/>
          <w14:ligatures w14:val="none"/>
        </w:rPr>
      </w:pPr>
      <w:r>
        <w:rPr>
          <w:rFonts w:cstheme="minorBidi"/>
        </w:rPr>
        <w:t>Art der Nutzung und Wohnanteil</w:t>
      </w:r>
    </w:p>
    <w:p w14:paraId="305CB86E" w14:textId="77777777" w:rsidR="00EB704A" w:rsidRPr="00EB704A" w:rsidRDefault="00EB704A" w:rsidP="00EB704A">
      <w:pPr>
        <w:pStyle w:val="Listenabsatz"/>
        <w:numPr>
          <w:ilvl w:val="0"/>
          <w:numId w:val="11"/>
        </w:numPr>
        <w:rPr>
          <w:kern w:val="0"/>
          <w:sz w:val="20"/>
          <w:szCs w:val="20"/>
          <w:lang w:eastAsia="de-DE"/>
          <w14:ligatures w14:val="none"/>
        </w:rPr>
      </w:pPr>
      <w:r w:rsidRPr="00EB704A">
        <w:rPr>
          <w:sz w:val="20"/>
          <w:szCs w:val="20"/>
        </w:rPr>
        <w:t>Zulässig sind Wohnnutzungen sowie höchstens mässig störende Gewerbe-, Dienstleistungs- und Handelsbetriebe, Gastronomie- und Hotelbetriebe sowie Kultur- und Freizeiteinrichtungen.</w:t>
      </w:r>
    </w:p>
    <w:p w14:paraId="701C1E96" w14:textId="77777777" w:rsidR="00EB704A" w:rsidRDefault="00EB704A" w:rsidP="00EB704A">
      <w:pPr>
        <w:pStyle w:val="Listenabsatz"/>
        <w:numPr>
          <w:ilvl w:val="0"/>
          <w:numId w:val="11"/>
        </w:numPr>
        <w:rPr>
          <w:sz w:val="20"/>
          <w:szCs w:val="20"/>
        </w:rPr>
      </w:pPr>
      <w:r>
        <w:rPr>
          <w:sz w:val="20"/>
          <w:szCs w:val="20"/>
        </w:rPr>
        <w:t>Die Erdgeschosse sind mehrheitlich publikumsorientierten Nutzungen (z.B. Verkauf, Gastronomie, Dienstleistungen mit Publikumsverkehr) zuzuführen.</w:t>
      </w:r>
    </w:p>
    <w:p w14:paraId="01CE5D67" w14:textId="77777777" w:rsidR="00EB704A" w:rsidRDefault="00EB704A" w:rsidP="00EB704A">
      <w:pPr>
        <w:pStyle w:val="Listenabsatz"/>
        <w:numPr>
          <w:ilvl w:val="0"/>
          <w:numId w:val="11"/>
        </w:numPr>
        <w:rPr>
          <w:sz w:val="20"/>
          <w:szCs w:val="20"/>
        </w:rPr>
      </w:pPr>
      <w:r>
        <w:rPr>
          <w:sz w:val="20"/>
          <w:szCs w:val="20"/>
        </w:rPr>
        <w:t>In den Erdgeschossen an Plätzen sind auf die Freiräume abgestimmte Nutzungen anzuordnen (z.B. Zugänge, Verkauf, Gastronomie, Ausstellungen).</w:t>
      </w:r>
    </w:p>
    <w:p w14:paraId="64E1E419" w14:textId="77777777" w:rsidR="00EB704A" w:rsidRDefault="00EB704A" w:rsidP="00EB704A">
      <w:pPr>
        <w:pStyle w:val="Listenabsatz"/>
        <w:numPr>
          <w:ilvl w:val="0"/>
          <w:numId w:val="11"/>
        </w:numPr>
        <w:rPr>
          <w:sz w:val="20"/>
          <w:szCs w:val="20"/>
        </w:rPr>
      </w:pPr>
      <w:r>
        <w:rPr>
          <w:sz w:val="20"/>
          <w:szCs w:val="20"/>
        </w:rPr>
        <w:t>In den Baubereichen B1/B2, C, D und E gilt für neu erstellte Geschossflächen ein Mindestwohnanteil von gesamthaft 50 % (je Etappe nachzuweisen).</w:t>
      </w:r>
    </w:p>
    <w:p w14:paraId="15F2F7AE" w14:textId="77777777" w:rsidR="00EB704A" w:rsidRDefault="00EB704A">
      <w:pPr>
        <w:pStyle w:val="berschrift3"/>
        <w:rPr>
          <w:rFonts w:cstheme="minorBidi"/>
          <w:kern w:val="0"/>
          <w:sz w:val="27"/>
          <w:szCs w:val="27"/>
          <w:lang w:eastAsia="de-DE"/>
          <w14:ligatures w14:val="none"/>
        </w:rPr>
      </w:pPr>
      <w:r>
        <w:rPr>
          <w:rFonts w:cstheme="minorBidi"/>
        </w:rPr>
        <w:t>Preisgünstiger Wohnraum (Auszug)</w:t>
      </w:r>
    </w:p>
    <w:p w14:paraId="62DDEEB0" w14:textId="77777777" w:rsidR="00EB704A" w:rsidRPr="00EB704A" w:rsidRDefault="00EB704A" w:rsidP="00EB704A">
      <w:pPr>
        <w:pStyle w:val="Listenabsatz"/>
        <w:numPr>
          <w:ilvl w:val="0"/>
          <w:numId w:val="12"/>
        </w:numPr>
        <w:rPr>
          <w:kern w:val="0"/>
          <w:sz w:val="20"/>
          <w:szCs w:val="20"/>
          <w:lang w:eastAsia="de-DE"/>
          <w14:ligatures w14:val="none"/>
        </w:rPr>
      </w:pPr>
      <w:r w:rsidRPr="00EB704A">
        <w:rPr>
          <w:sz w:val="20"/>
          <w:szCs w:val="20"/>
        </w:rPr>
        <w:t>Bereitzustellen ist preisgünstiger Wohnraum von mindestens 40 % der neu erstellten Wohnflächen (maximal im Umfang der Mehrausnutzung).</w:t>
      </w:r>
    </w:p>
    <w:p w14:paraId="771AC042" w14:textId="77777777" w:rsidR="00EB704A" w:rsidRDefault="00EB704A" w:rsidP="00EB704A">
      <w:pPr>
        <w:pStyle w:val="Listenabsatz"/>
        <w:numPr>
          <w:ilvl w:val="0"/>
          <w:numId w:val="12"/>
        </w:numPr>
        <w:rPr>
          <w:sz w:val="20"/>
          <w:szCs w:val="20"/>
        </w:rPr>
      </w:pPr>
      <w:r>
        <w:rPr>
          <w:sz w:val="20"/>
          <w:szCs w:val="20"/>
        </w:rPr>
        <w:t>Als preisgünstig gelten u.a. Mietwohnungen gemäss kantonalem Wohnraumförderungsgesetz, gemäss Anfangsmietzinsen-Verordnung des Stadtrats, als innovative Wohnform mit Kostenmiete oder im Eigentum gemeinnütziger Wohnbauträger (Kostenmiete).</w:t>
      </w:r>
    </w:p>
    <w:p w14:paraId="584E9A83" w14:textId="77777777" w:rsidR="00EB704A" w:rsidRDefault="00EB704A" w:rsidP="00EB704A">
      <w:pPr>
        <w:pStyle w:val="Listenabsatz"/>
        <w:numPr>
          <w:ilvl w:val="0"/>
          <w:numId w:val="12"/>
        </w:numPr>
        <w:rPr>
          <w:sz w:val="20"/>
          <w:szCs w:val="20"/>
        </w:rPr>
      </w:pPr>
      <w:r>
        <w:rPr>
          <w:sz w:val="20"/>
          <w:szCs w:val="20"/>
        </w:rPr>
        <w:t>Der preisgünstige Wohnraum ist innerhalb eines Baubereichs zeitgleich oder vor dem übrigen Wohnraum zu realisieren (Verschiebungen bei gleichzeitiger Überbauung mehrerer Baubereiche möglich).</w:t>
      </w:r>
    </w:p>
    <w:p w14:paraId="5A8A7B11" w14:textId="77777777" w:rsidR="00EB704A" w:rsidRDefault="00EB704A" w:rsidP="00EB704A">
      <w:pPr>
        <w:pStyle w:val="Listenabsatz"/>
        <w:numPr>
          <w:ilvl w:val="0"/>
          <w:numId w:val="12"/>
        </w:numPr>
        <w:rPr>
          <w:sz w:val="20"/>
          <w:szCs w:val="20"/>
        </w:rPr>
      </w:pPr>
      <w:r>
        <w:rPr>
          <w:sz w:val="20"/>
          <w:szCs w:val="20"/>
        </w:rPr>
        <w:t>In besonderen Fällen kann anstelle von preisgünstigem Wohnraum im Erd-/Sockelgeschoss preisgünstiger Gewerbe-, Kultur- oder Begegnungsraum geschaffen werden (max. 20 % der preisgünstigen Wohnflächen).</w:t>
      </w:r>
    </w:p>
    <w:p w14:paraId="0DA00F19" w14:textId="77777777" w:rsidR="00EB704A" w:rsidRDefault="00EB704A" w:rsidP="00EB704A">
      <w:pPr>
        <w:pStyle w:val="Listenabsatz"/>
        <w:numPr>
          <w:ilvl w:val="0"/>
          <w:numId w:val="12"/>
        </w:numPr>
        <w:rPr>
          <w:sz w:val="20"/>
          <w:szCs w:val="20"/>
        </w:rPr>
      </w:pPr>
      <w:r>
        <w:rPr>
          <w:sz w:val="20"/>
          <w:szCs w:val="20"/>
        </w:rPr>
        <w:t>Verpflichtungen sind als öffentlichrechtliche Eigentumsbeschränkungen im Grundbuch anzumerken und soweit erforderlich vertraglich sicherzustellen.</w:t>
      </w:r>
    </w:p>
    <w:p w14:paraId="332F0C71"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lastRenderedPageBreak/>
        <w:t>Kapitel 4: Erschliessung (Auszug)</w:t>
      </w:r>
    </w:p>
    <w:p w14:paraId="48A2A5F7" w14:textId="77777777" w:rsidR="00EB704A" w:rsidRPr="00EB704A" w:rsidRDefault="00EB704A" w:rsidP="00EB704A">
      <w:pPr>
        <w:pStyle w:val="Listenabsatz"/>
        <w:numPr>
          <w:ilvl w:val="0"/>
          <w:numId w:val="13"/>
        </w:numPr>
        <w:rPr>
          <w:kern w:val="0"/>
          <w:sz w:val="20"/>
          <w:szCs w:val="20"/>
          <w:lang w:eastAsia="de-DE"/>
          <w14:ligatures w14:val="none"/>
        </w:rPr>
      </w:pPr>
      <w:r w:rsidRPr="00EB704A">
        <w:rPr>
          <w:sz w:val="20"/>
          <w:szCs w:val="20"/>
        </w:rPr>
        <w:t>Zu- und Wegfahrt zur Tiefgarage, Anlieferung sowie Fusswegverbindungen erfolgen gemäss Situationsplan.</w:t>
      </w:r>
    </w:p>
    <w:p w14:paraId="22C5BE3D" w14:textId="77777777" w:rsidR="00EB704A" w:rsidRDefault="00EB704A" w:rsidP="00EB704A">
      <w:pPr>
        <w:pStyle w:val="Listenabsatz"/>
        <w:numPr>
          <w:ilvl w:val="0"/>
          <w:numId w:val="13"/>
        </w:numPr>
        <w:rPr>
          <w:sz w:val="20"/>
          <w:szCs w:val="20"/>
        </w:rPr>
      </w:pPr>
      <w:r>
        <w:rPr>
          <w:sz w:val="20"/>
          <w:szCs w:val="20"/>
        </w:rPr>
        <w:t>Bezeichnete Fusswegverbindungen, öffentliche Fussgängerflächen sowie Plätze und Emailihof sind öffentlich zugänglich zu halten; Fusswegrechte sind privatrechtlich zu konkretisieren.</w:t>
      </w:r>
    </w:p>
    <w:p w14:paraId="171FE4E8" w14:textId="77777777" w:rsidR="00EB704A" w:rsidRDefault="00EB704A" w:rsidP="00EB704A">
      <w:pPr>
        <w:pStyle w:val="Listenabsatz"/>
        <w:numPr>
          <w:ilvl w:val="0"/>
          <w:numId w:val="13"/>
        </w:numPr>
        <w:rPr>
          <w:sz w:val="20"/>
          <w:szCs w:val="20"/>
        </w:rPr>
      </w:pPr>
      <w:r>
        <w:rPr>
          <w:sz w:val="20"/>
          <w:szCs w:val="20"/>
        </w:rPr>
        <w:t>Die bestehende Tiefgarageneinfahrt ist lärmtechnisch zu sanieren, sofern die Einhaltung der Lärmschutzverordnung nicht anderweitig nachgewiesen wird.</w:t>
      </w:r>
    </w:p>
    <w:p w14:paraId="3400B023" w14:textId="77777777" w:rsidR="00EB704A" w:rsidRDefault="00EB704A" w:rsidP="00EB704A">
      <w:pPr>
        <w:pStyle w:val="Listenabsatz"/>
        <w:numPr>
          <w:ilvl w:val="0"/>
          <w:numId w:val="14"/>
        </w:numPr>
        <w:rPr>
          <w:kern w:val="0"/>
          <w:sz w:val="20"/>
          <w:szCs w:val="20"/>
          <w:lang w:eastAsia="de-DE"/>
          <w14:ligatures w14:val="none"/>
        </w:rPr>
      </w:pPr>
      <w:r>
        <w:rPr>
          <w:b/>
          <w:bCs/>
          <w:sz w:val="20"/>
          <w:szCs w:val="20"/>
        </w:rPr>
        <w:t>Parkierung:</w:t>
      </w:r>
      <w:r>
        <w:rPr>
          <w:sz w:val="20"/>
          <w:szCs w:val="20"/>
        </w:rPr>
        <w:t xml:space="preserve"> Max. 728 Parkfelder (vollumfänglich in der Tiefgarage); 50 % öffentlich zugänglich. Erhöhung nur möglich, sofern Metalli + Bergli zusammen max. 900 Parkfelder nicht überschreiten. Kunden- und Besucherparkplätze sind monetär und lenkungswirksam zu bewirtschaften; Carsharing-Abstellplätze sind bedarfsgerecht bereitzustellen.</w:t>
      </w:r>
    </w:p>
    <w:p w14:paraId="19720004" w14:textId="77777777" w:rsidR="00EB704A" w:rsidRDefault="00EB704A" w:rsidP="00EB704A">
      <w:pPr>
        <w:pStyle w:val="Listenabsatz"/>
        <w:numPr>
          <w:ilvl w:val="0"/>
          <w:numId w:val="14"/>
        </w:numPr>
        <w:rPr>
          <w:sz w:val="20"/>
          <w:szCs w:val="20"/>
        </w:rPr>
      </w:pPr>
      <w:r>
        <w:rPr>
          <w:b/>
          <w:bCs/>
          <w:sz w:val="20"/>
          <w:szCs w:val="20"/>
        </w:rPr>
        <w:t>Veloabstellplätze:</w:t>
      </w:r>
      <w:r>
        <w:rPr>
          <w:sz w:val="20"/>
          <w:szCs w:val="20"/>
        </w:rPr>
        <w:t xml:space="preserve"> Richtwert 552 zusätzlich zu erstellende Veloabstellplätze; Nachweis über Mobilitätskonzepte und Baubewilligungsverfahren; Besucherplätze witterungsgeschützt mit Haltevorrichtungen.</w:t>
      </w:r>
    </w:p>
    <w:p w14:paraId="45775000" w14:textId="77777777" w:rsidR="00EB704A" w:rsidRDefault="00EB704A" w:rsidP="00EB704A">
      <w:pPr>
        <w:pStyle w:val="Listenabsatz"/>
        <w:numPr>
          <w:ilvl w:val="0"/>
          <w:numId w:val="14"/>
        </w:numPr>
        <w:rPr>
          <w:sz w:val="20"/>
          <w:szCs w:val="20"/>
        </w:rPr>
      </w:pPr>
      <w:r>
        <w:rPr>
          <w:b/>
          <w:bCs/>
          <w:sz w:val="20"/>
          <w:szCs w:val="20"/>
        </w:rPr>
        <w:t>Mobilitätskonzept:</w:t>
      </w:r>
      <w:r>
        <w:rPr>
          <w:sz w:val="20"/>
          <w:szCs w:val="20"/>
        </w:rPr>
        <w:t xml:space="preserve"> Mit erstem Bauvorhaben einzureichen; u.a. Aufteilung Parkfelder, Verkehrslenkung, Veloinfrastruktur sowie Prüfung von Mobilitätsvereinbarungen und Controlling.</w:t>
      </w:r>
    </w:p>
    <w:p w14:paraId="0FECC526"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t>Kapitel 5: Freiraum (Auszug)</w:t>
      </w:r>
    </w:p>
    <w:p w14:paraId="3CEE7774" w14:textId="77777777" w:rsidR="00EB704A" w:rsidRPr="00EB704A" w:rsidRDefault="00EB704A" w:rsidP="00EB704A">
      <w:pPr>
        <w:pStyle w:val="Listenabsatz"/>
        <w:numPr>
          <w:ilvl w:val="0"/>
          <w:numId w:val="15"/>
        </w:numPr>
        <w:rPr>
          <w:kern w:val="0"/>
          <w:sz w:val="20"/>
          <w:szCs w:val="20"/>
          <w:lang w:eastAsia="de-DE"/>
          <w14:ligatures w14:val="none"/>
        </w:rPr>
      </w:pPr>
      <w:r w:rsidRPr="00EB704A">
        <w:rPr>
          <w:sz w:val="20"/>
          <w:szCs w:val="20"/>
        </w:rPr>
        <w:t>Freiräume müssen eine besonders gute gestalterische Qualität aufweisen und den Nutzungsansprüchen gerecht werden.</w:t>
      </w:r>
    </w:p>
    <w:p w14:paraId="236966CC" w14:textId="77777777" w:rsidR="00EB704A" w:rsidRDefault="00EB704A" w:rsidP="00EB704A">
      <w:pPr>
        <w:pStyle w:val="Listenabsatz"/>
        <w:numPr>
          <w:ilvl w:val="0"/>
          <w:numId w:val="15"/>
        </w:numPr>
        <w:rPr>
          <w:sz w:val="20"/>
          <w:szCs w:val="20"/>
        </w:rPr>
      </w:pPr>
      <w:r>
        <w:rPr>
          <w:sz w:val="20"/>
          <w:szCs w:val="20"/>
        </w:rPr>
        <w:t>Mit einem ersten Bauvorhaben ist ein detaillierter Umgebungsplan einzureichen (klimaangepasste, ökologische Gestaltung und etappenweise Umsetzung).</w:t>
      </w:r>
    </w:p>
    <w:p w14:paraId="1D9968CB" w14:textId="77777777" w:rsidR="00EB704A" w:rsidRDefault="00EB704A" w:rsidP="00EB704A">
      <w:pPr>
        <w:pStyle w:val="Listenabsatz"/>
        <w:numPr>
          <w:ilvl w:val="0"/>
          <w:numId w:val="15"/>
        </w:numPr>
        <w:rPr>
          <w:sz w:val="20"/>
          <w:szCs w:val="20"/>
        </w:rPr>
      </w:pPr>
      <w:r>
        <w:rPr>
          <w:sz w:val="20"/>
          <w:szCs w:val="20"/>
        </w:rPr>
        <w:t>Mit Bauvorhaben in B1/B2, C, D und E ist mindestens einer der angrenzenden Freiräume zu realisieren. Charakter (Auszug): Metalliplatz/Stanziplatz mehrheitlich befestigt mit Baumpflanzungen; Channenplatz befestigt und befahrbar (Anlieferung/Notzufahrt); Smalteria etwa zur Hälfte begrünt.</w:t>
      </w:r>
    </w:p>
    <w:p w14:paraId="2155EE91" w14:textId="77777777" w:rsidR="00EB704A" w:rsidRDefault="00EB704A" w:rsidP="00EB704A">
      <w:pPr>
        <w:pStyle w:val="Listenabsatz"/>
        <w:numPr>
          <w:ilvl w:val="0"/>
          <w:numId w:val="15"/>
        </w:numPr>
        <w:rPr>
          <w:sz w:val="20"/>
          <w:szCs w:val="20"/>
        </w:rPr>
      </w:pPr>
      <w:r>
        <w:rPr>
          <w:sz w:val="20"/>
          <w:szCs w:val="20"/>
        </w:rPr>
        <w:t>Bäume sind an bezeichneten Lagen zu pflanzen und zu erhalten; bei Abgang zu ersetzen. Für grosskronige Bäume sind ausreichende Wurzelräume nachzuweisen; sie dürfen zumindest im ersten Untergeschoss nicht unterbaut werden.</w:t>
      </w:r>
    </w:p>
    <w:p w14:paraId="185A3933"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t>Kapitel 6: Ver- und Entsorgung / Umwelt (Auszug)</w:t>
      </w:r>
    </w:p>
    <w:p w14:paraId="7C9BE349" w14:textId="77777777" w:rsidR="00EB704A" w:rsidRPr="00EB704A" w:rsidRDefault="00EB704A" w:rsidP="00EB704A">
      <w:pPr>
        <w:pStyle w:val="Listenabsatz"/>
        <w:numPr>
          <w:ilvl w:val="0"/>
          <w:numId w:val="16"/>
        </w:numPr>
        <w:rPr>
          <w:kern w:val="0"/>
          <w:sz w:val="20"/>
          <w:szCs w:val="20"/>
          <w:lang w:eastAsia="de-DE"/>
          <w14:ligatures w14:val="none"/>
        </w:rPr>
      </w:pPr>
      <w:r w:rsidRPr="00EB704A">
        <w:rPr>
          <w:b/>
          <w:bCs/>
          <w:sz w:val="20"/>
          <w:szCs w:val="20"/>
        </w:rPr>
        <w:t>Energie und Klimaschutz:</w:t>
      </w:r>
      <w:r w:rsidRPr="00EB704A">
        <w:rPr>
          <w:sz w:val="20"/>
          <w:szCs w:val="20"/>
        </w:rPr>
        <w:t xml:space="preserve"> Mit Baugesuchen ist je Etappe ein Energiekonzept einzureichen (effizienter Energieeinsatz, Vermeidung von Grauenergie, Solarenergie). Für Neubauten ist ein Vorzertifikat SNBS-Hochbau Gold (oder gleichwertig) nachzuweisen; arealweite Zertifizierung kann die Anforderungen ebenfalls erfüllen. Der Stadtrat legt gestützt auf den Umweltverträglichkeitsbericht die umweltrechtlichen Auflagen fest.</w:t>
      </w:r>
    </w:p>
    <w:p w14:paraId="036B7091" w14:textId="77777777" w:rsidR="00EB704A" w:rsidRDefault="00EB704A" w:rsidP="00EB704A">
      <w:pPr>
        <w:pStyle w:val="Listenabsatz"/>
        <w:numPr>
          <w:ilvl w:val="0"/>
          <w:numId w:val="16"/>
        </w:numPr>
        <w:rPr>
          <w:sz w:val="20"/>
          <w:szCs w:val="20"/>
        </w:rPr>
      </w:pPr>
      <w:r>
        <w:rPr>
          <w:b/>
          <w:bCs/>
          <w:sz w:val="20"/>
          <w:szCs w:val="20"/>
        </w:rPr>
        <w:t>Retention und Versickerung:</w:t>
      </w:r>
      <w:r>
        <w:rPr>
          <w:sz w:val="20"/>
          <w:szCs w:val="20"/>
        </w:rPr>
        <w:t xml:space="preserve"> Neubauten und neue Umgebungsflächen sind im Trennsystem zu entwässern; integrales Entwässerungskonzept mit Retentions-/Versickerungsnachweis.</w:t>
      </w:r>
    </w:p>
    <w:p w14:paraId="4BCA26B1" w14:textId="77777777" w:rsidR="00EB704A" w:rsidRDefault="00EB704A" w:rsidP="00EB704A">
      <w:pPr>
        <w:pStyle w:val="Listenabsatz"/>
        <w:numPr>
          <w:ilvl w:val="0"/>
          <w:numId w:val="16"/>
        </w:numPr>
        <w:rPr>
          <w:sz w:val="20"/>
          <w:szCs w:val="20"/>
        </w:rPr>
      </w:pPr>
      <w:r>
        <w:rPr>
          <w:b/>
          <w:bCs/>
          <w:sz w:val="20"/>
          <w:szCs w:val="20"/>
        </w:rPr>
        <w:t>Abfallwirtschaft:</w:t>
      </w:r>
      <w:r>
        <w:rPr>
          <w:sz w:val="20"/>
          <w:szCs w:val="20"/>
        </w:rPr>
        <w:t xml:space="preserve"> Entsorgungskonzept; Realisierung einer Entsorgungsstelle (Unterflurcontainer) an geeigneter Lage.</w:t>
      </w:r>
    </w:p>
    <w:p w14:paraId="253B4119" w14:textId="77777777" w:rsidR="00EB704A" w:rsidRDefault="00EB704A" w:rsidP="00EB704A">
      <w:pPr>
        <w:pStyle w:val="Listenabsatz"/>
        <w:numPr>
          <w:ilvl w:val="0"/>
          <w:numId w:val="16"/>
        </w:numPr>
        <w:rPr>
          <w:sz w:val="20"/>
          <w:szCs w:val="20"/>
        </w:rPr>
      </w:pPr>
      <w:r>
        <w:rPr>
          <w:b/>
          <w:bCs/>
          <w:sz w:val="20"/>
          <w:szCs w:val="20"/>
        </w:rPr>
        <w:t>Licht:</w:t>
      </w:r>
      <w:r>
        <w:rPr>
          <w:sz w:val="20"/>
          <w:szCs w:val="20"/>
        </w:rPr>
        <w:t xml:space="preserve"> Beleuchtungskonzept mit Massnahmen zur Vermeidung/Verminderung von Lichtemissionen.</w:t>
      </w:r>
    </w:p>
    <w:p w14:paraId="24FE6458" w14:textId="77777777" w:rsidR="00EB704A" w:rsidRDefault="00EB704A">
      <w:pPr>
        <w:pStyle w:val="berschrift2"/>
        <w:rPr>
          <w:rFonts w:asciiTheme="minorHAnsi" w:hAnsiTheme="minorHAnsi" w:cstheme="minorBidi"/>
          <w:kern w:val="0"/>
          <w:sz w:val="36"/>
          <w:szCs w:val="36"/>
          <w:lang w:eastAsia="de-DE"/>
          <w14:ligatures w14:val="none"/>
        </w:rPr>
      </w:pPr>
      <w:r>
        <w:rPr>
          <w:rFonts w:asciiTheme="minorHAnsi" w:hAnsiTheme="minorHAnsi" w:cstheme="minorBidi"/>
        </w:rPr>
        <w:t>Kapitel 7: Schlussbestimmungen</w:t>
      </w:r>
    </w:p>
    <w:p w14:paraId="3772E37A" w14:textId="77777777" w:rsidR="00EB704A" w:rsidRPr="00EB704A" w:rsidRDefault="00EB704A" w:rsidP="00EB704A">
      <w:pPr>
        <w:pStyle w:val="Listenabsatz"/>
        <w:numPr>
          <w:ilvl w:val="0"/>
          <w:numId w:val="17"/>
        </w:numPr>
        <w:rPr>
          <w:kern w:val="0"/>
          <w:sz w:val="20"/>
          <w:szCs w:val="20"/>
          <w:lang w:eastAsia="de-DE"/>
          <w14:ligatures w14:val="none"/>
        </w:rPr>
      </w:pPr>
      <w:r w:rsidRPr="00EB704A">
        <w:rPr>
          <w:b/>
          <w:bCs/>
          <w:sz w:val="20"/>
          <w:szCs w:val="20"/>
        </w:rPr>
        <w:t>Etappierung:</w:t>
      </w:r>
      <w:r w:rsidRPr="00EB704A">
        <w:rPr>
          <w:sz w:val="20"/>
          <w:szCs w:val="20"/>
        </w:rPr>
        <w:t xml:space="preserve"> Im Rahmen der Etappierung und für Zwischennutzungen kann der Stadtrat zeitlich befristete Abweichungen von den Bestimmungen bewilligen.</w:t>
      </w:r>
    </w:p>
    <w:p w14:paraId="4D8D8B4C" w14:textId="77777777" w:rsidR="00EB704A" w:rsidRDefault="00EB704A" w:rsidP="00EB704A">
      <w:pPr>
        <w:pStyle w:val="Listenabsatz"/>
        <w:numPr>
          <w:ilvl w:val="0"/>
          <w:numId w:val="17"/>
        </w:numPr>
        <w:rPr>
          <w:sz w:val="20"/>
          <w:szCs w:val="20"/>
        </w:rPr>
      </w:pPr>
      <w:r>
        <w:rPr>
          <w:b/>
          <w:bCs/>
          <w:sz w:val="20"/>
          <w:szCs w:val="20"/>
        </w:rPr>
        <w:lastRenderedPageBreak/>
        <w:t>Inkrafttreten:</w:t>
      </w:r>
      <w:r>
        <w:rPr>
          <w:sz w:val="20"/>
          <w:szCs w:val="20"/>
        </w:rPr>
        <w:t xml:space="preserve"> Der Bebauungsplan tritt nach Beschlussfassung des Grossen Gemeinderates und mit Genehmigung durch die Baudirektion bzw. den Regierungsrat des Kantons Zug in Kraft.</w:t>
      </w:r>
    </w:p>
    <w:p w14:paraId="4A25C37E" w14:textId="77777777" w:rsidR="00EB704A" w:rsidRDefault="00EB704A" w:rsidP="00EB704A">
      <w:pPr>
        <w:pStyle w:val="Listenabsatz"/>
        <w:numPr>
          <w:ilvl w:val="0"/>
          <w:numId w:val="17"/>
        </w:numPr>
        <w:rPr>
          <w:sz w:val="20"/>
          <w:szCs w:val="20"/>
        </w:rPr>
      </w:pPr>
      <w:r>
        <w:rPr>
          <w:b/>
          <w:bCs/>
          <w:sz w:val="20"/>
          <w:szCs w:val="20"/>
        </w:rPr>
        <w:t>Aufhebung bisherigen Rechts:</w:t>
      </w:r>
      <w:r>
        <w:rPr>
          <w:sz w:val="20"/>
          <w:szCs w:val="20"/>
        </w:rPr>
        <w:t xml:space="preserve"> Mit Inkrafttreten von Plan Nr. 7518 wird der Bebauungsplan Metalli, Plan Nr. 7082 (KBD vom 23.07.2010), ersetzt.</w:t>
      </w:r>
    </w:p>
    <w:p w14:paraId="34925A8B" w14:textId="77777777" w:rsidR="00EB704A" w:rsidRDefault="00EB704A">
      <w:pPr>
        <w:pStyle w:val="berschrift1"/>
        <w:rPr>
          <w:rFonts w:asciiTheme="minorHAnsi" w:hAnsiTheme="minorHAnsi" w:cstheme="minorBidi"/>
          <w:kern w:val="36"/>
          <w:sz w:val="48"/>
          <w:szCs w:val="48"/>
          <w:lang w:eastAsia="de-DE"/>
          <w14:ligatures w14:val="none"/>
        </w:rPr>
      </w:pPr>
      <w:r>
        <w:rPr>
          <w:rFonts w:asciiTheme="minorHAnsi" w:hAnsiTheme="minorHAnsi" w:cstheme="minorBidi"/>
        </w:rPr>
        <w:t>Anhang: Situationsplan 1:500 (Hinweis)</w:t>
      </w:r>
    </w:p>
    <w:p w14:paraId="717FDDF6" w14:textId="77777777" w:rsidR="00EB704A" w:rsidRDefault="00EB704A">
      <w:pPr>
        <w:rPr>
          <w:kern w:val="0"/>
          <w:lang w:eastAsia="de-DE"/>
          <w14:ligatures w14:val="none"/>
        </w:rPr>
      </w:pPr>
      <w:r>
        <w:t>Der Situationsplan (Karte/Grafik) aus dem PDF ist in dieser Textfassung nicht enthalten. Für die visuelle Planbeilage nutzen Sie bitte die Originalunterlagen der Stadt Zug.</w:t>
      </w:r>
    </w:p>
    <w:p w14:paraId="0F3664B1" w14:textId="77777777" w:rsidR="00EB704A" w:rsidRDefault="00EB704A">
      <w:pPr>
        <w:rPr>
          <w:kern w:val="0"/>
          <w:lang w:eastAsia="de-DE"/>
          <w14:ligatures w14:val="none"/>
        </w:rPr>
      </w:pPr>
      <w:r>
        <w:rPr>
          <w:b/>
          <w:bCs/>
        </w:rPr>
        <w:t>Kontakt:</w:t>
      </w:r>
      <w:r>
        <w:t xml:space="preserve"> Stadt Zug, Stadthaus, Gubelstrasse 22, 6300 Zug – info@stadtzug.ch</w:t>
      </w:r>
    </w:p>
    <w:p w14:paraId="5E52FA86" w14:textId="77777777" w:rsidR="00507E04" w:rsidRDefault="00507E04"/>
    <w:sectPr w:rsidR="00507E04" w:rsidSect="00EB704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A49"/>
    <w:multiLevelType w:val="multilevel"/>
    <w:tmpl w:val="64F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A54D6"/>
    <w:multiLevelType w:val="multilevel"/>
    <w:tmpl w:val="B30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A50C7"/>
    <w:multiLevelType w:val="multilevel"/>
    <w:tmpl w:val="50B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6203"/>
    <w:multiLevelType w:val="multilevel"/>
    <w:tmpl w:val="95C0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A70C7"/>
    <w:multiLevelType w:val="multilevel"/>
    <w:tmpl w:val="9A4A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659D9"/>
    <w:multiLevelType w:val="multilevel"/>
    <w:tmpl w:val="334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36892"/>
    <w:multiLevelType w:val="multilevel"/>
    <w:tmpl w:val="EB8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4B58"/>
    <w:multiLevelType w:val="multilevel"/>
    <w:tmpl w:val="64FC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E64888"/>
    <w:multiLevelType w:val="multilevel"/>
    <w:tmpl w:val="B44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E60DF"/>
    <w:multiLevelType w:val="multilevel"/>
    <w:tmpl w:val="0E62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860CB"/>
    <w:multiLevelType w:val="multilevel"/>
    <w:tmpl w:val="4CB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17DEB"/>
    <w:multiLevelType w:val="multilevel"/>
    <w:tmpl w:val="DCBA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27203D"/>
    <w:multiLevelType w:val="multilevel"/>
    <w:tmpl w:val="FABE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D144A"/>
    <w:multiLevelType w:val="multilevel"/>
    <w:tmpl w:val="2CA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D1B0F"/>
    <w:multiLevelType w:val="multilevel"/>
    <w:tmpl w:val="9ADC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84A50"/>
    <w:multiLevelType w:val="multilevel"/>
    <w:tmpl w:val="21F2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4355A"/>
    <w:multiLevelType w:val="multilevel"/>
    <w:tmpl w:val="F684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047613">
    <w:abstractNumId w:val="4"/>
  </w:num>
  <w:num w:numId="2" w16cid:durableId="2036228492">
    <w:abstractNumId w:val="9"/>
  </w:num>
  <w:num w:numId="3" w16cid:durableId="1721241721">
    <w:abstractNumId w:val="6"/>
  </w:num>
  <w:num w:numId="4" w16cid:durableId="1952474619">
    <w:abstractNumId w:val="11"/>
  </w:num>
  <w:num w:numId="5" w16cid:durableId="1864662829">
    <w:abstractNumId w:val="7"/>
  </w:num>
  <w:num w:numId="6" w16cid:durableId="197859021">
    <w:abstractNumId w:val="12"/>
  </w:num>
  <w:num w:numId="7" w16cid:durableId="1902211127">
    <w:abstractNumId w:val="0"/>
  </w:num>
  <w:num w:numId="8" w16cid:durableId="975834997">
    <w:abstractNumId w:val="16"/>
  </w:num>
  <w:num w:numId="9" w16cid:durableId="1089157663">
    <w:abstractNumId w:val="15"/>
  </w:num>
  <w:num w:numId="10" w16cid:durableId="580912656">
    <w:abstractNumId w:val="2"/>
  </w:num>
  <w:num w:numId="11" w16cid:durableId="291332257">
    <w:abstractNumId w:val="10"/>
  </w:num>
  <w:num w:numId="12" w16cid:durableId="1302930088">
    <w:abstractNumId w:val="8"/>
  </w:num>
  <w:num w:numId="13" w16cid:durableId="604508199">
    <w:abstractNumId w:val="14"/>
  </w:num>
  <w:num w:numId="14" w16cid:durableId="415976811">
    <w:abstractNumId w:val="13"/>
  </w:num>
  <w:num w:numId="15" w16cid:durableId="926420466">
    <w:abstractNumId w:val="1"/>
  </w:num>
  <w:num w:numId="16" w16cid:durableId="1014452684">
    <w:abstractNumId w:val="5"/>
  </w:num>
  <w:num w:numId="17" w16cid:durableId="15495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4A"/>
    <w:rsid w:val="00000119"/>
    <w:rsid w:val="000C3F68"/>
    <w:rsid w:val="00435EC6"/>
    <w:rsid w:val="00507E04"/>
    <w:rsid w:val="005D700B"/>
    <w:rsid w:val="00816B89"/>
    <w:rsid w:val="00A4061A"/>
    <w:rsid w:val="00B30C24"/>
    <w:rsid w:val="00B4567B"/>
    <w:rsid w:val="00BC5A5D"/>
    <w:rsid w:val="00BF371F"/>
    <w:rsid w:val="00C962D4"/>
    <w:rsid w:val="00D94B66"/>
    <w:rsid w:val="00EB704A"/>
    <w:rsid w:val="00EF3707"/>
    <w:rsid w:val="00F07E76"/>
    <w:rsid w:val="00F849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86AE"/>
  <w15:chartTrackingRefBased/>
  <w15:docId w15:val="{FFC34E4B-C3CB-4E4A-9234-052E7DA7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1">
    <w:name w:val="heading 1"/>
    <w:basedOn w:val="Standard"/>
    <w:next w:val="Standard"/>
    <w:link w:val="berschrift1Zchn"/>
    <w:uiPriority w:val="9"/>
    <w:qFormat/>
    <w:rsid w:val="00EB7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B7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B70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70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70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70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70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70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70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70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70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70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70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70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70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70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70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704A"/>
    <w:rPr>
      <w:rFonts w:eastAsiaTheme="majorEastAsia" w:cstheme="majorBidi"/>
      <w:color w:val="272727" w:themeColor="text1" w:themeTint="D8"/>
    </w:rPr>
  </w:style>
  <w:style w:type="paragraph" w:styleId="Titel">
    <w:name w:val="Title"/>
    <w:basedOn w:val="Standard"/>
    <w:next w:val="Standard"/>
    <w:link w:val="TitelZchn"/>
    <w:uiPriority w:val="10"/>
    <w:qFormat/>
    <w:rsid w:val="00EB7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70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704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70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704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B704A"/>
    <w:rPr>
      <w:i/>
      <w:iCs/>
      <w:color w:val="404040" w:themeColor="text1" w:themeTint="BF"/>
    </w:rPr>
  </w:style>
  <w:style w:type="paragraph" w:styleId="Listenabsatz">
    <w:name w:val="List Paragraph"/>
    <w:basedOn w:val="Standard"/>
    <w:uiPriority w:val="34"/>
    <w:qFormat/>
    <w:rsid w:val="00EB704A"/>
    <w:pPr>
      <w:ind w:left="720"/>
      <w:contextualSpacing/>
    </w:pPr>
  </w:style>
  <w:style w:type="character" w:styleId="IntensiveHervorhebung">
    <w:name w:val="Intense Emphasis"/>
    <w:basedOn w:val="Absatz-Standardschriftart"/>
    <w:uiPriority w:val="21"/>
    <w:qFormat/>
    <w:rsid w:val="00EB704A"/>
    <w:rPr>
      <w:i/>
      <w:iCs/>
      <w:color w:val="0F4761" w:themeColor="accent1" w:themeShade="BF"/>
    </w:rPr>
  </w:style>
  <w:style w:type="paragraph" w:styleId="IntensivesZitat">
    <w:name w:val="Intense Quote"/>
    <w:basedOn w:val="Standard"/>
    <w:next w:val="Standard"/>
    <w:link w:val="IntensivesZitatZchn"/>
    <w:uiPriority w:val="30"/>
    <w:qFormat/>
    <w:rsid w:val="00EB7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704A"/>
    <w:rPr>
      <w:i/>
      <w:iCs/>
      <w:color w:val="0F4761" w:themeColor="accent1" w:themeShade="BF"/>
    </w:rPr>
  </w:style>
  <w:style w:type="character" w:styleId="IntensiverVerweis">
    <w:name w:val="Intense Reference"/>
    <w:basedOn w:val="Absatz-Standardschriftart"/>
    <w:uiPriority w:val="32"/>
    <w:qFormat/>
    <w:rsid w:val="00EB704A"/>
    <w:rPr>
      <w:b/>
      <w:bCs/>
      <w:smallCaps/>
      <w:color w:val="0F4761" w:themeColor="accent1" w:themeShade="BF"/>
      <w:spacing w:val="5"/>
    </w:rPr>
  </w:style>
  <w:style w:type="table" w:customStyle="1" w:styleId="GridTable1Light-Accent1">
    <w:name w:val="Grid Table 1 Light - Accent 1"/>
    <w:basedOn w:val="NormaleTabelle"/>
    <w:uiPriority w:val="46"/>
    <w:rsid w:val="00EB704A"/>
    <w:pPr>
      <w:spacing w:line="240" w:lineRule="auto"/>
    </w:p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Gruppe" ma:contentTypeID="0x010100FCEB33F92C5FEB4099185EDC14A8B3E3004485220DBCA7D54A91F240FDABEA3125" ma:contentTypeVersion="17" ma:contentTypeDescription="Create a new document." ma:contentTypeScope="" ma:versionID="371fedd5e8cc12c85713ef83e0fa463a">
  <xsd:schema xmlns:xsd="http://www.w3.org/2001/XMLSchema" xmlns:xs="http://www.w3.org/2001/XMLSchema" xmlns:p="http://schemas.microsoft.com/office/2006/metadata/properties" xmlns:ns1="http://schemas.microsoft.com/sharepoint/v3" xmlns:ns2="cdc5e19d-9e67-40d4-86ff-fee3e12db91f" xmlns:ns3="6d02c10e-af54-4980-9cd8-0fa9b43fda36" xmlns:ns4="7fed05e5-3b46-4272-b381-66ac59aa9243" targetNamespace="http://schemas.microsoft.com/office/2006/metadata/properties" ma:root="true" ma:fieldsID="77c55dba276aa297c0b7197f7ce9a0b0" ns1:_="" ns2:_="" ns3:_="" ns4:_="">
    <xsd:import namespace="http://schemas.microsoft.com/sharepoint/v3"/>
    <xsd:import namespace="cdc5e19d-9e67-40d4-86ff-fee3e12db91f"/>
    <xsd:import namespace="6d02c10e-af54-4980-9cd8-0fa9b43fda36"/>
    <xsd:import namespace="7fed05e5-3b46-4272-b381-66ac59aa9243"/>
    <xsd:element name="properties">
      <xsd:complexType>
        <xsd:sequence>
          <xsd:element name="documentManagement">
            <xsd:complexType>
              <xsd:all>
                <xsd:element ref="ns2:TaxCatchAll" minOccurs="0"/>
                <xsd:element ref="ns2:TaxCatchAllLabel" minOccurs="0"/>
                <xsd:element ref="ns3:oe96fa9a18064059a9b3563b13680957" minOccurs="0"/>
                <xsd:element ref="ns1:UR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c5e19d-9e67-40d4-86ff-fee3e12db91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3a0ff32-42e8-46c8-bd67-abd98bada5e4}" ma:internalName="TaxCatchAll" ma:showField="CatchAllData" ma:web="cdc5e19d-9e67-40d4-86ff-fee3e12db9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a0ff32-42e8-46c8-bd67-abd98bada5e4}" ma:internalName="TaxCatchAllLabel" ma:readOnly="true" ma:showField="CatchAllDataLabel" ma:web="cdc5e19d-9e67-40d4-86ff-fee3e12db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02c10e-af54-4980-9cd8-0fa9b43fda36" elementFormDefault="qualified">
    <xsd:import namespace="http://schemas.microsoft.com/office/2006/documentManagement/types"/>
    <xsd:import namespace="http://schemas.microsoft.com/office/infopath/2007/PartnerControls"/>
    <xsd:element name="oe96fa9a18064059a9b3563b13680957" ma:index="11" nillable="true" ma:taxonomy="true" ma:internalName="oe96fa9a18064059a9b3563b13680957" ma:taxonomyFieldName="Dokumentenart" ma:displayName="Dokumentenart" ma:default="" ma:fieldId="{8e96fa9a-1806-4059-a9b3-563b13680957}" ma:sspId="883392ac-d8ad-4a59-8d4c-dc8c41e71d5b" ma:termSetId="e7bd0a9b-34b9-4acf-9c02-483da288e3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ed05e5-3b46-4272-b381-66ac59aa924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83392ac-d8ad-4a59-8d4c-dc8c41e71d5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d05e5-3b46-4272-b381-66ac59aa9243">
      <Terms xmlns="http://schemas.microsoft.com/office/infopath/2007/PartnerControls"/>
    </lcf76f155ced4ddcb4097134ff3c332f>
    <TaxCatchAll xmlns="cdc5e19d-9e67-40d4-86ff-fee3e12db91f" xsi:nil="true"/>
    <oe96fa9a18064059a9b3563b13680957 xmlns="6d02c10e-af54-4980-9cd8-0fa9b43fda36">
      <Terms xmlns="http://schemas.microsoft.com/office/infopath/2007/PartnerControls"/>
    </oe96fa9a18064059a9b3563b13680957>
    <URL xmlns="http://schemas.microsoft.com/sharepoint/v3">
      <Url xsi:nil="true"/>
      <Description xsi:nil="true"/>
    </URL>
  </documentManagement>
</p:properties>
</file>

<file path=customXml/itemProps1.xml><?xml version="1.0" encoding="utf-8"?>
<ds:datastoreItem xmlns:ds="http://schemas.openxmlformats.org/officeDocument/2006/customXml" ds:itemID="{F848C8E4-AE8E-4128-BF3B-277F803B9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c5e19d-9e67-40d4-86ff-fee3e12db91f"/>
    <ds:schemaRef ds:uri="6d02c10e-af54-4980-9cd8-0fa9b43fda36"/>
    <ds:schemaRef ds:uri="7fed05e5-3b46-4272-b381-66ac59aa9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52B56-1FDA-4868-A854-0E08BFAE0CF1}">
  <ds:schemaRefs>
    <ds:schemaRef ds:uri="http://schemas.microsoft.com/sharepoint/v3/contenttype/forms"/>
  </ds:schemaRefs>
</ds:datastoreItem>
</file>

<file path=customXml/itemProps3.xml><?xml version="1.0" encoding="utf-8"?>
<ds:datastoreItem xmlns:ds="http://schemas.openxmlformats.org/officeDocument/2006/customXml" ds:itemID="{4FC74F1A-5076-4032-B218-54C2061A9144}">
  <ds:schemaRefs>
    <ds:schemaRef ds:uri="http://schemas.microsoft.com/office/2006/metadata/properties"/>
    <ds:schemaRef ds:uri="http://schemas.microsoft.com/office/infopath/2007/PartnerControls"/>
    <ds:schemaRef ds:uri="7fed05e5-3b46-4272-b381-66ac59aa9243"/>
    <ds:schemaRef ds:uri="cdc5e19d-9e67-40d4-86ff-fee3e12db91f"/>
    <ds:schemaRef ds:uri="6d02c10e-af54-4980-9cd8-0fa9b43fda3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3199</Words>
  <Characters>21150</Characters>
  <Application>Microsoft Office Word</Application>
  <DocSecurity>0</DocSecurity>
  <Lines>384</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Dieter</dc:creator>
  <cp:keywords/>
  <dc:description/>
  <cp:lastModifiedBy>Müller Dieter</cp:lastModifiedBy>
  <cp:revision>6</cp:revision>
  <dcterms:created xsi:type="dcterms:W3CDTF">2026-04-30T06:29:00Z</dcterms:created>
  <dcterms:modified xsi:type="dcterms:W3CDTF">2026-04-30T08:05:00Z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0x010100FCEB33F92C5FEB4099185EDC14A8B3E3004485220DBCA7D54A91F240FDABEA3125</vt:lpwstr>
  </property>
  <property fmtid="{D5CDD505-2E9C-101B-9397-08002B2CF9AE}" pid="3" name="MediaServiceImageTags">
    <vt:lpwstr/>
  </property>
  <property fmtid="{D5CDD505-2E9C-101B-9397-08002B2CF9AE}" pid="4" name="Dokumentenart">
    <vt:lpwstr/>
  </property>
</Properties>
</file>